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DE99" w14:textId="304F970F" w:rsidR="002F4242" w:rsidRPr="00682EAF" w:rsidRDefault="00AA07CA" w:rsidP="002F4242">
      <w:pPr>
        <w:ind w:firstLine="0"/>
        <w:rPr>
          <w:rFonts w:cs="Arial"/>
          <w:b/>
        </w:rPr>
      </w:pPr>
      <w:r>
        <w:rPr>
          <w:rFonts w:cs="Arial"/>
          <w:b/>
        </w:rPr>
        <w:t>D</w:t>
      </w:r>
      <w:r w:rsidR="002F4242" w:rsidRPr="00682EAF">
        <w:rPr>
          <w:rFonts w:cs="Arial"/>
          <w:b/>
        </w:rPr>
        <w:t>esenvolvimento de competências</w:t>
      </w:r>
      <w:r>
        <w:rPr>
          <w:rFonts w:cs="Arial"/>
          <w:b/>
        </w:rPr>
        <w:t xml:space="preserve"> com jogos de empresas</w:t>
      </w:r>
      <w:r w:rsidR="002F4242" w:rsidRPr="00682EAF">
        <w:rPr>
          <w:rFonts w:cs="Arial"/>
          <w:b/>
        </w:rPr>
        <w:t xml:space="preserve">: </w:t>
      </w:r>
      <w:r>
        <w:rPr>
          <w:rFonts w:cs="Arial"/>
          <w:b/>
        </w:rPr>
        <w:t xml:space="preserve">pesquisa de opinião em </w:t>
      </w:r>
      <w:r w:rsidR="002F4242" w:rsidRPr="00682EAF">
        <w:rPr>
          <w:rFonts w:cs="Arial"/>
          <w:b/>
        </w:rPr>
        <w:t>um experimento com alunos do ensino técnico</w:t>
      </w:r>
    </w:p>
    <w:p w14:paraId="30177B36" w14:textId="77777777" w:rsidR="00C75AD5" w:rsidRDefault="00C75AD5" w:rsidP="005A2C31">
      <w:pPr>
        <w:ind w:firstLine="0"/>
        <w:rPr>
          <w:rFonts w:cs="Arial"/>
          <w:b/>
        </w:rPr>
      </w:pPr>
    </w:p>
    <w:p w14:paraId="0FDE821D" w14:textId="77777777" w:rsidR="002F4242" w:rsidRDefault="002F4242" w:rsidP="005A2C31">
      <w:pPr>
        <w:ind w:firstLine="0"/>
        <w:rPr>
          <w:rFonts w:cs="Arial"/>
          <w:b/>
        </w:rPr>
      </w:pPr>
      <w:r>
        <w:rPr>
          <w:rFonts w:cs="Arial"/>
          <w:b/>
        </w:rPr>
        <w:t>Resumo</w:t>
      </w:r>
    </w:p>
    <w:p w14:paraId="66324E8D" w14:textId="70729DE1" w:rsidR="00ED30ED" w:rsidRPr="00BD3846" w:rsidRDefault="00ED30ED" w:rsidP="00907989">
      <w:pPr>
        <w:pStyle w:val="Corpodetexto"/>
      </w:pPr>
      <w:r>
        <w:t>O presente estudo te</w:t>
      </w:r>
      <w:r w:rsidR="001801A4">
        <w:t>ve</w:t>
      </w:r>
      <w:r w:rsidRPr="00BD3846">
        <w:t xml:space="preserve"> </w:t>
      </w:r>
      <w:r w:rsidR="00530AB3">
        <w:t xml:space="preserve">por objetivo </w:t>
      </w:r>
      <w:r w:rsidR="00530AB3" w:rsidRPr="00530AB3">
        <w:t>compreender quais são os atributos de competência mais utilizados pelos participantes de simulações empresariais durante o processo de tomada de decisão</w:t>
      </w:r>
      <w:r w:rsidR="00D73A3E">
        <w:t>, segundo a opinião dos alunos</w:t>
      </w:r>
      <w:r w:rsidR="00530AB3" w:rsidRPr="00530AB3">
        <w:t>.</w:t>
      </w:r>
      <w:r>
        <w:t xml:space="preserve"> </w:t>
      </w:r>
      <w:r w:rsidR="00ED7B18">
        <w:t>A</w:t>
      </w:r>
      <w:r w:rsidRPr="00BD3846">
        <w:t xml:space="preserve"> amostra </w:t>
      </w:r>
      <w:r w:rsidR="00FD6970">
        <w:t>foi formada por</w:t>
      </w:r>
      <w:r w:rsidR="00D73A3E">
        <w:t xml:space="preserve"> </w:t>
      </w:r>
      <w:r w:rsidR="00ED7B18">
        <w:t>33 estudantes do ensino técnico em Administração</w:t>
      </w:r>
      <w:r w:rsidR="00FD6970">
        <w:t>,</w:t>
      </w:r>
      <w:r w:rsidR="00ED7B18">
        <w:t xml:space="preserve"> que </w:t>
      </w:r>
      <w:r w:rsidR="00907989">
        <w:t>responderam</w:t>
      </w:r>
      <w:r w:rsidR="001801A4">
        <w:t>,</w:t>
      </w:r>
      <w:r w:rsidR="00907989">
        <w:t xml:space="preserve"> inicialmente</w:t>
      </w:r>
      <w:r w:rsidR="001801A4">
        <w:t>,</w:t>
      </w:r>
      <w:r w:rsidR="000C5357">
        <w:t xml:space="preserve"> </w:t>
      </w:r>
      <w:r w:rsidR="00907989">
        <w:t>um questionário de mapeamento de competências (conhecimentos, habilidades e atitudes)</w:t>
      </w:r>
      <w:r w:rsidR="001801A4">
        <w:t>. Após</w:t>
      </w:r>
      <w:r w:rsidR="00907989">
        <w:t xml:space="preserve"> 7 rodadas de um jogo de simulação, </w:t>
      </w:r>
      <w:r w:rsidR="00FD6970">
        <w:t xml:space="preserve">os participantes </w:t>
      </w:r>
      <w:r w:rsidR="00907989">
        <w:t xml:space="preserve">responderam novamente ao questionário, pontuando o quanto cada um dos atributos de competência havia sido importante </w:t>
      </w:r>
      <w:r w:rsidR="00FD6970">
        <w:t>durante o</w:t>
      </w:r>
      <w:r w:rsidR="00907989">
        <w:t xml:space="preserve"> processo de tomada de decisão.</w:t>
      </w:r>
      <w:r w:rsidRPr="00BD3846">
        <w:t xml:space="preserve"> Os resultados evidenciaram que </w:t>
      </w:r>
      <w:r w:rsidR="00506E92">
        <w:t>a</w:t>
      </w:r>
      <w:r w:rsidR="007E51F5">
        <w:t>s competência</w:t>
      </w:r>
      <w:r w:rsidR="004C3CDE">
        <w:t>s</w:t>
      </w:r>
      <w:r w:rsidR="000C5357">
        <w:t xml:space="preserve"> </w:t>
      </w:r>
      <w:r w:rsidR="007E51F5">
        <w:t>mais utilizad</w:t>
      </w:r>
      <w:r w:rsidR="004C3CDE">
        <w:t>a</w:t>
      </w:r>
      <w:r w:rsidR="007E51F5">
        <w:t>s</w:t>
      </w:r>
      <w:r w:rsidR="004C3CDE">
        <w:t xml:space="preserve"> pelos </w:t>
      </w:r>
      <w:r w:rsidR="00FD6970">
        <w:t>estudantes</w:t>
      </w:r>
      <w:r w:rsidR="004C3CDE">
        <w:t xml:space="preserve"> durante a simulação</w:t>
      </w:r>
      <w:r w:rsidR="007E51F5">
        <w:t xml:space="preserve"> foram </w:t>
      </w:r>
      <w:r w:rsidR="00506E92">
        <w:t>a</w:t>
      </w:r>
      <w:r w:rsidR="004C3CDE">
        <w:t>quelas</w:t>
      </w:r>
      <w:r w:rsidR="001801A4">
        <w:t xml:space="preserve"> </w:t>
      </w:r>
      <w:r w:rsidR="007E51F5">
        <w:t>relacionad</w:t>
      </w:r>
      <w:r w:rsidR="00506E92">
        <w:t>a</w:t>
      </w:r>
      <w:r w:rsidR="007E51F5">
        <w:t xml:space="preserve">s às dimensões habilidades e </w:t>
      </w:r>
      <w:r w:rsidR="001F26C4">
        <w:t>atitudes</w:t>
      </w:r>
      <w:r>
        <w:t xml:space="preserve">. Além disso, </w:t>
      </w:r>
      <w:r w:rsidR="00907989">
        <w:t>o</w:t>
      </w:r>
      <w:r w:rsidR="001F26C4">
        <w:t xml:space="preserve">bservou-se que </w:t>
      </w:r>
      <w:r w:rsidR="00907989">
        <w:t>o instrumento lev</w:t>
      </w:r>
      <w:r w:rsidR="00A37E66">
        <w:t>ou</w:t>
      </w:r>
      <w:r w:rsidR="00907989">
        <w:t xml:space="preserve"> o aluno a refletir</w:t>
      </w:r>
      <w:r w:rsidR="00A37E66">
        <w:t xml:space="preserve"> </w:t>
      </w:r>
      <w:r w:rsidR="00907989">
        <w:t xml:space="preserve">sobre </w:t>
      </w:r>
      <w:r w:rsidR="00A37E66">
        <w:t>suas competências e habilidades</w:t>
      </w:r>
      <w:r w:rsidR="00907989">
        <w:t xml:space="preserve">, </w:t>
      </w:r>
      <w:r w:rsidR="00A37E66">
        <w:t>incentivando-o a prestar atenção</w:t>
      </w:r>
      <w:r w:rsidR="00E27AD5">
        <w:t xml:space="preserve"> em como pensa e toma decisão. É provável que is</w:t>
      </w:r>
      <w:r w:rsidR="00FD6970">
        <w:t>s</w:t>
      </w:r>
      <w:r w:rsidR="00E27AD5">
        <w:t xml:space="preserve">o o tenha </w:t>
      </w:r>
      <w:r w:rsidR="00907989">
        <w:t>estimula</w:t>
      </w:r>
      <w:r w:rsidR="00E27AD5">
        <w:t>do</w:t>
      </w:r>
      <w:r w:rsidR="00907989">
        <w:t xml:space="preserve"> a </w:t>
      </w:r>
      <w:r w:rsidR="00E27AD5">
        <w:t xml:space="preserve">pensar o exercício com o jogo como uma forma de estimular </w:t>
      </w:r>
      <w:r w:rsidR="00A97E2A">
        <w:t xml:space="preserve">e </w:t>
      </w:r>
      <w:r w:rsidR="00907989">
        <w:t>desenvolv</w:t>
      </w:r>
      <w:r w:rsidR="00A97E2A">
        <w:t>er as</w:t>
      </w:r>
      <w:r w:rsidR="00907989">
        <w:t xml:space="preserve"> habilidades e atitudes</w:t>
      </w:r>
      <w:r w:rsidR="00A97E2A">
        <w:t xml:space="preserve"> presentes no instrumento</w:t>
      </w:r>
      <w:r w:rsidR="00907989">
        <w:t>,</w:t>
      </w:r>
      <w:r w:rsidR="00A97E2A">
        <w:t xml:space="preserve"> bem como adquirir novos conhecimentos sobre o processo gerencial das empresas</w:t>
      </w:r>
      <w:r w:rsidR="00907989">
        <w:t>. Como limitações</w:t>
      </w:r>
      <w:r w:rsidR="00FD6970">
        <w:t xml:space="preserve"> do estudo</w:t>
      </w:r>
      <w:r w:rsidR="00907989">
        <w:t xml:space="preserve">, apontam-se a utilização de um grupo pequeno de participantes e o fato de que </w:t>
      </w:r>
      <w:r w:rsidR="001801A4">
        <w:t xml:space="preserve">os dados </w:t>
      </w:r>
      <w:r w:rsidR="00907989">
        <w:t>obtid</w:t>
      </w:r>
      <w:r w:rsidR="001801A4">
        <w:t>o</w:t>
      </w:r>
      <w:r w:rsidR="00907989">
        <w:t xml:space="preserve">s </w:t>
      </w:r>
      <w:r w:rsidR="001801A4">
        <w:t>no experimento</w:t>
      </w:r>
      <w:r w:rsidR="00907989">
        <w:t xml:space="preserve"> </w:t>
      </w:r>
      <w:r w:rsidR="00B10782">
        <w:t>resultaram de um</w:t>
      </w:r>
      <w:r w:rsidR="001801A4">
        <w:t xml:space="preserve"> </w:t>
      </w:r>
      <w:r w:rsidR="00907989">
        <w:t xml:space="preserve">processo de autoavaliação. </w:t>
      </w:r>
      <w:r w:rsidR="001801A4">
        <w:t>R</w:t>
      </w:r>
      <w:r w:rsidR="00907989">
        <w:t>ecomenda-se que</w:t>
      </w:r>
      <w:r w:rsidR="00FD6970">
        <w:t>,</w:t>
      </w:r>
      <w:r w:rsidR="00907989">
        <w:t xml:space="preserve"> </w:t>
      </w:r>
      <w:r w:rsidR="001801A4">
        <w:t xml:space="preserve">em </w:t>
      </w:r>
      <w:r w:rsidR="00907989">
        <w:t>estudos futuros</w:t>
      </w:r>
      <w:r w:rsidR="00FD6970">
        <w:t>,</w:t>
      </w:r>
      <w:r w:rsidR="00907989">
        <w:t xml:space="preserve"> </w:t>
      </w:r>
      <w:r w:rsidR="001801A4">
        <w:t xml:space="preserve">sejam ampliados os tamanhos das </w:t>
      </w:r>
      <w:r w:rsidR="00907989">
        <w:t xml:space="preserve">amostras e </w:t>
      </w:r>
      <w:r w:rsidR="001801A4">
        <w:t>realizadas</w:t>
      </w:r>
      <w:r w:rsidR="00907989">
        <w:t xml:space="preserve"> simulações e avaliações em grupo </w:t>
      </w:r>
      <w:r w:rsidR="001801A4">
        <w:t>para efeito de comparação com os resultados obtidos nesta pesquisa</w:t>
      </w:r>
      <w:r w:rsidR="00907989">
        <w:t xml:space="preserve">. </w:t>
      </w:r>
    </w:p>
    <w:p w14:paraId="32FC6405" w14:textId="77777777" w:rsidR="002F4242" w:rsidRPr="00682EAF" w:rsidRDefault="002F4242" w:rsidP="005A2C31">
      <w:pPr>
        <w:ind w:firstLine="0"/>
        <w:rPr>
          <w:rFonts w:cs="Arial"/>
          <w:b/>
        </w:rPr>
      </w:pPr>
    </w:p>
    <w:p w14:paraId="1795E3C5" w14:textId="77777777" w:rsidR="005A2C31" w:rsidRPr="00ED30ED" w:rsidRDefault="005A2C31" w:rsidP="00ED30ED">
      <w:pPr>
        <w:ind w:firstLine="0"/>
        <w:rPr>
          <w:rFonts w:cs="Arial"/>
        </w:rPr>
      </w:pPr>
      <w:r w:rsidRPr="00682EAF">
        <w:rPr>
          <w:rFonts w:cs="Arial"/>
          <w:b/>
        </w:rPr>
        <w:t>P</w:t>
      </w:r>
      <w:r w:rsidR="00ED30ED">
        <w:rPr>
          <w:rFonts w:cs="Arial"/>
          <w:b/>
        </w:rPr>
        <w:t xml:space="preserve">alavras-chave: </w:t>
      </w:r>
      <w:r w:rsidR="00ED30ED" w:rsidRPr="00ED30ED">
        <w:rPr>
          <w:rFonts w:cs="Arial"/>
        </w:rPr>
        <w:t>Simulaç</w:t>
      </w:r>
      <w:r w:rsidR="00ED7B18">
        <w:rPr>
          <w:rFonts w:cs="Arial"/>
        </w:rPr>
        <w:t>ões E</w:t>
      </w:r>
      <w:r w:rsidR="00ED30ED" w:rsidRPr="00ED30ED">
        <w:rPr>
          <w:rFonts w:cs="Arial"/>
        </w:rPr>
        <w:t>mpresariais; Mapeamento de Competências; Aprendizado.</w:t>
      </w:r>
    </w:p>
    <w:p w14:paraId="6C4FA8C6" w14:textId="77777777" w:rsidR="0025155C" w:rsidRPr="00682EAF" w:rsidRDefault="0025155C" w:rsidP="005A2C31">
      <w:pPr>
        <w:ind w:firstLine="0"/>
        <w:rPr>
          <w:rFonts w:cs="Arial"/>
          <w:b/>
        </w:rPr>
      </w:pPr>
    </w:p>
    <w:p w14:paraId="4BCD757E" w14:textId="77777777" w:rsidR="0035511A" w:rsidRDefault="0035511A">
      <w:pPr>
        <w:spacing w:line="240" w:lineRule="auto"/>
        <w:ind w:firstLine="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242143BC" w14:textId="77777777" w:rsidR="00EA38AE" w:rsidRPr="00682EAF" w:rsidRDefault="0025155C" w:rsidP="007140FD">
      <w:pPr>
        <w:spacing w:after="120"/>
        <w:ind w:firstLine="0"/>
        <w:rPr>
          <w:rFonts w:cs="Arial"/>
          <w:b/>
        </w:rPr>
      </w:pPr>
      <w:r w:rsidRPr="00682EAF">
        <w:rPr>
          <w:rFonts w:cs="Arial"/>
          <w:b/>
        </w:rPr>
        <w:lastRenderedPageBreak/>
        <w:t>INTRODUÇÃO</w:t>
      </w:r>
    </w:p>
    <w:p w14:paraId="2B30386C" w14:textId="08A0BD3A" w:rsidR="004A5323" w:rsidRDefault="004A5323" w:rsidP="001B66A6">
      <w:pPr>
        <w:ind w:firstLine="708"/>
        <w:rPr>
          <w:rFonts w:cs="Arial"/>
        </w:rPr>
      </w:pPr>
      <w:r w:rsidRPr="00682EAF">
        <w:rPr>
          <w:rFonts w:cs="Arial"/>
        </w:rPr>
        <w:t xml:space="preserve">Os jogos de empresas </w:t>
      </w:r>
      <w:r w:rsidR="00382C82">
        <w:rPr>
          <w:rFonts w:cs="Arial"/>
        </w:rPr>
        <w:t>são</w:t>
      </w:r>
      <w:r w:rsidRPr="00682EAF">
        <w:rPr>
          <w:rFonts w:cs="Arial"/>
        </w:rPr>
        <w:t xml:space="preserve"> utilizados há cerca de 60 anos</w:t>
      </w:r>
      <w:r w:rsidR="00904A77">
        <w:rPr>
          <w:rFonts w:cs="Arial"/>
        </w:rPr>
        <w:t xml:space="preserve"> </w:t>
      </w:r>
      <w:r w:rsidR="00904A77" w:rsidRPr="00682EAF">
        <w:rPr>
          <w:rFonts w:cs="Arial"/>
        </w:rPr>
        <w:t>nos meios acadêmico e empresarial</w:t>
      </w:r>
      <w:r w:rsidR="001F26C4">
        <w:rPr>
          <w:rFonts w:cs="Arial"/>
        </w:rPr>
        <w:t xml:space="preserve"> como um método para</w:t>
      </w:r>
      <w:r w:rsidRPr="00682EAF">
        <w:rPr>
          <w:rFonts w:cs="Arial"/>
        </w:rPr>
        <w:t xml:space="preserve"> </w:t>
      </w:r>
      <w:r w:rsidR="00904A77">
        <w:rPr>
          <w:rFonts w:cs="Arial"/>
        </w:rPr>
        <w:t xml:space="preserve">apoiar o aprendizado de conteúdos </w:t>
      </w:r>
      <w:r w:rsidRPr="00682EAF">
        <w:rPr>
          <w:rFonts w:cs="Arial"/>
        </w:rPr>
        <w:t>relacionado</w:t>
      </w:r>
      <w:r w:rsidR="00904A77">
        <w:rPr>
          <w:rFonts w:cs="Arial"/>
        </w:rPr>
        <w:t>s</w:t>
      </w:r>
      <w:r w:rsidRPr="00682EAF">
        <w:rPr>
          <w:rFonts w:cs="Arial"/>
        </w:rPr>
        <w:t xml:space="preserve"> à gestão de negócios</w:t>
      </w:r>
      <w:r w:rsidR="00904A77">
        <w:rPr>
          <w:rFonts w:cs="Arial"/>
        </w:rPr>
        <w:t>.</w:t>
      </w:r>
      <w:r w:rsidR="00E10CD1">
        <w:rPr>
          <w:rFonts w:cs="Arial"/>
        </w:rPr>
        <w:t xml:space="preserve"> Tal prática</w:t>
      </w:r>
      <w:r w:rsidR="00904A77">
        <w:rPr>
          <w:rFonts w:cs="Arial"/>
        </w:rPr>
        <w:t xml:space="preserve"> proporciona</w:t>
      </w:r>
      <w:r w:rsidR="00E10CD1">
        <w:rPr>
          <w:rFonts w:cs="Arial"/>
        </w:rPr>
        <w:t xml:space="preserve"> uma</w:t>
      </w:r>
      <w:r w:rsidR="002F4242">
        <w:rPr>
          <w:rFonts w:cs="Arial"/>
        </w:rPr>
        <w:t xml:space="preserve"> experiência</w:t>
      </w:r>
      <w:r w:rsidR="00382C82">
        <w:rPr>
          <w:rFonts w:cs="Arial"/>
        </w:rPr>
        <w:t xml:space="preserve"> diferenciada</w:t>
      </w:r>
      <w:r w:rsidR="007F1155">
        <w:rPr>
          <w:rFonts w:cs="Arial"/>
        </w:rPr>
        <w:t xml:space="preserve"> e tem sido utilizad</w:t>
      </w:r>
      <w:r w:rsidR="00E10CD1">
        <w:rPr>
          <w:rFonts w:cs="Arial"/>
        </w:rPr>
        <w:t>a</w:t>
      </w:r>
      <w:r w:rsidR="007F1155">
        <w:rPr>
          <w:rFonts w:cs="Arial"/>
        </w:rPr>
        <w:t xml:space="preserve"> para apresentar, de forma integrada, </w:t>
      </w:r>
      <w:r w:rsidR="00382C82" w:rsidRPr="004771E5">
        <w:t>conhecimentos prévios obtidos pelos alunos</w:t>
      </w:r>
      <w:r w:rsidR="001F26C4">
        <w:t xml:space="preserve">, </w:t>
      </w:r>
      <w:r w:rsidR="007F1155">
        <w:t>tornando o processo ensino</w:t>
      </w:r>
      <w:r w:rsidR="00435659">
        <w:t>-</w:t>
      </w:r>
      <w:r w:rsidR="007F1155">
        <w:t>aprendizagem</w:t>
      </w:r>
      <w:r w:rsidR="001F26C4">
        <w:t xml:space="preserve"> viv</w:t>
      </w:r>
      <w:r w:rsidR="007F1155">
        <w:t>encial</w:t>
      </w:r>
      <w:r w:rsidR="00E10CD1">
        <w:t xml:space="preserve"> </w:t>
      </w:r>
      <w:r w:rsidRPr="00682EAF">
        <w:rPr>
          <w:rFonts w:cs="Arial"/>
        </w:rPr>
        <w:t>(MARQUES; PESSOA; SAUAIA, 2004)</w:t>
      </w:r>
      <w:r>
        <w:rPr>
          <w:rFonts w:cs="Arial"/>
        </w:rPr>
        <w:t>.</w:t>
      </w:r>
    </w:p>
    <w:p w14:paraId="73F158C1" w14:textId="5CB419A6" w:rsidR="00742CB4" w:rsidRDefault="00ED6D60" w:rsidP="007F1444">
      <w:pPr>
        <w:rPr>
          <w:rFonts w:cs="Arial"/>
        </w:rPr>
      </w:pPr>
      <w:r>
        <w:rPr>
          <w:rFonts w:eastAsiaTheme="minorHAnsi" w:cs="Arial"/>
          <w:lang w:eastAsia="en-US"/>
        </w:rPr>
        <w:t>Os</w:t>
      </w:r>
      <w:r w:rsidR="00742CB4" w:rsidRPr="00682EAF">
        <w:rPr>
          <w:rFonts w:eastAsiaTheme="minorHAnsi" w:cs="Arial"/>
          <w:lang w:eastAsia="en-US"/>
        </w:rPr>
        <w:t xml:space="preserve"> jogos </w:t>
      </w:r>
      <w:r w:rsidR="00085B3F" w:rsidRPr="00682EAF">
        <w:rPr>
          <w:rFonts w:cs="Arial"/>
        </w:rPr>
        <w:t>empresariais proporciona</w:t>
      </w:r>
      <w:r w:rsidR="00EA56C7">
        <w:rPr>
          <w:rFonts w:cs="Arial"/>
        </w:rPr>
        <w:t xml:space="preserve">m as condições para que </w:t>
      </w:r>
      <w:r w:rsidR="00085B3F" w:rsidRPr="00682EAF">
        <w:rPr>
          <w:rFonts w:cs="Arial"/>
        </w:rPr>
        <w:t>o</w:t>
      </w:r>
      <w:r w:rsidR="00AE1AF9">
        <w:rPr>
          <w:rFonts w:cs="Arial"/>
        </w:rPr>
        <w:t>s</w:t>
      </w:r>
      <w:r w:rsidR="00085B3F" w:rsidRPr="00682EAF">
        <w:rPr>
          <w:rFonts w:cs="Arial"/>
        </w:rPr>
        <w:t xml:space="preserve"> participante</w:t>
      </w:r>
      <w:r w:rsidR="00AE1AF9">
        <w:rPr>
          <w:rFonts w:cs="Arial"/>
        </w:rPr>
        <w:t>s</w:t>
      </w:r>
      <w:r w:rsidR="00085B3F" w:rsidRPr="00682EAF">
        <w:rPr>
          <w:rFonts w:cs="Arial"/>
        </w:rPr>
        <w:t xml:space="preserve"> bus</w:t>
      </w:r>
      <w:r w:rsidR="00EA56C7">
        <w:rPr>
          <w:rFonts w:cs="Arial"/>
        </w:rPr>
        <w:t>quem</w:t>
      </w:r>
      <w:r w:rsidR="00085B3F" w:rsidRPr="00682EAF">
        <w:rPr>
          <w:rFonts w:cs="Arial"/>
        </w:rPr>
        <w:t xml:space="preserve"> e manipul</w:t>
      </w:r>
      <w:r w:rsidR="00EA56C7">
        <w:rPr>
          <w:rFonts w:cs="Arial"/>
        </w:rPr>
        <w:t>em</w:t>
      </w:r>
      <w:r w:rsidR="00085B3F" w:rsidRPr="00682EAF">
        <w:rPr>
          <w:rFonts w:cs="Arial"/>
        </w:rPr>
        <w:t xml:space="preserve"> </w:t>
      </w:r>
      <w:r w:rsidR="00EA56C7">
        <w:rPr>
          <w:rFonts w:cs="Arial"/>
        </w:rPr>
        <w:t xml:space="preserve">dados e </w:t>
      </w:r>
      <w:r w:rsidR="00085B3F" w:rsidRPr="00682EAF">
        <w:rPr>
          <w:rFonts w:cs="Arial"/>
        </w:rPr>
        <w:t xml:space="preserve">informações conforme seus interesses e percepções, fazendo com que </w:t>
      </w:r>
      <w:r w:rsidR="00EA56C7">
        <w:rPr>
          <w:rFonts w:cs="Arial"/>
        </w:rPr>
        <w:t>tenham</w:t>
      </w:r>
      <w:r w:rsidR="00085B3F" w:rsidRPr="00682EAF">
        <w:rPr>
          <w:rFonts w:cs="Arial"/>
        </w:rPr>
        <w:t xml:space="preserve"> um papel ativo no processo de </w:t>
      </w:r>
      <w:r w:rsidR="00FD6EF3" w:rsidRPr="00682EAF">
        <w:rPr>
          <w:rFonts w:cs="Arial"/>
        </w:rPr>
        <w:t>ensino-aprendizagem</w:t>
      </w:r>
      <w:r w:rsidR="00435659">
        <w:rPr>
          <w:rFonts w:cs="Arial"/>
        </w:rPr>
        <w:t>. Por um lado, aprendem ao tentar superar os desafios propostos nas dinâmicas com jogos</w:t>
      </w:r>
      <w:r w:rsidR="00FD6EF3" w:rsidRPr="00682EAF">
        <w:rPr>
          <w:rFonts w:cs="Arial"/>
        </w:rPr>
        <w:t>,</w:t>
      </w:r>
      <w:r w:rsidR="00435659">
        <w:rPr>
          <w:rFonts w:cs="Arial"/>
        </w:rPr>
        <w:t xml:space="preserve"> por outro, tornam-se protagonistas do processo, pois não esperam passivamente os conteúdos, mas uma vez percebida a necessidade deles, </w:t>
      </w:r>
      <w:r w:rsidR="00D2291A">
        <w:rPr>
          <w:rFonts w:cs="Arial"/>
        </w:rPr>
        <w:t>vão em busca de aprendê-los. Num modelo mais avançado de aprendizagem ativa, o aluno</w:t>
      </w:r>
      <w:r w:rsidR="00085B3F" w:rsidRPr="00682EAF">
        <w:rPr>
          <w:rFonts w:cs="Arial"/>
        </w:rPr>
        <w:t xml:space="preserve"> torna</w:t>
      </w:r>
      <w:r w:rsidR="00D2291A">
        <w:rPr>
          <w:rFonts w:cs="Arial"/>
        </w:rPr>
        <w:t>-se</w:t>
      </w:r>
      <w:r w:rsidR="00382C82">
        <w:rPr>
          <w:rFonts w:cs="Arial"/>
        </w:rPr>
        <w:t xml:space="preserve"> responsáve</w:t>
      </w:r>
      <w:r w:rsidR="00D2291A">
        <w:rPr>
          <w:rFonts w:cs="Arial"/>
        </w:rPr>
        <w:t>l</w:t>
      </w:r>
      <w:r w:rsidR="00085B3F" w:rsidRPr="00682EAF">
        <w:rPr>
          <w:rFonts w:cs="Arial"/>
        </w:rPr>
        <w:t xml:space="preserve"> pel</w:t>
      </w:r>
      <w:r w:rsidR="006C5AD0">
        <w:rPr>
          <w:rFonts w:cs="Arial"/>
        </w:rPr>
        <w:t>o próprio aprendizado</w:t>
      </w:r>
      <w:r w:rsidR="00085B3F" w:rsidRPr="00682EAF">
        <w:rPr>
          <w:rFonts w:cs="Arial"/>
        </w:rPr>
        <w:t xml:space="preserve"> (SAUAIA</w:t>
      </w:r>
      <w:r w:rsidR="00742CB4" w:rsidRPr="00682EAF">
        <w:rPr>
          <w:rFonts w:eastAsiaTheme="minorHAnsi" w:cs="Arial"/>
          <w:lang w:eastAsia="en-US"/>
        </w:rPr>
        <w:t xml:space="preserve">, 1995). </w:t>
      </w:r>
      <w:r w:rsidR="00D2291A">
        <w:rPr>
          <w:rFonts w:eastAsiaTheme="minorHAnsi" w:cs="Arial"/>
          <w:lang w:eastAsia="en-US"/>
        </w:rPr>
        <w:t xml:space="preserve">Em outras palavras, o aluno se percebe com um sujeito em construção e age para </w:t>
      </w:r>
      <w:r w:rsidR="00F35282">
        <w:rPr>
          <w:rFonts w:eastAsiaTheme="minorHAnsi" w:cs="Arial"/>
          <w:lang w:eastAsia="en-US"/>
        </w:rPr>
        <w:t>desenvolver as competências e habilidades que sup</w:t>
      </w:r>
      <w:r w:rsidR="006C5AD0">
        <w:rPr>
          <w:rFonts w:eastAsiaTheme="minorHAnsi" w:cs="Arial"/>
          <w:lang w:eastAsia="en-US"/>
        </w:rPr>
        <w:t>õe necessárias</w:t>
      </w:r>
      <w:r w:rsidR="00F35282">
        <w:rPr>
          <w:rFonts w:eastAsiaTheme="minorHAnsi" w:cs="Arial"/>
          <w:lang w:eastAsia="en-US"/>
        </w:rPr>
        <w:t xml:space="preserve"> à sua vida pessoal</w:t>
      </w:r>
      <w:r w:rsidR="006C5AD0">
        <w:rPr>
          <w:rFonts w:eastAsiaTheme="minorHAnsi" w:cs="Arial"/>
          <w:lang w:eastAsia="en-US"/>
        </w:rPr>
        <w:t xml:space="preserve"> e </w:t>
      </w:r>
      <w:r w:rsidR="00F35282">
        <w:rPr>
          <w:rFonts w:eastAsiaTheme="minorHAnsi" w:cs="Arial"/>
          <w:lang w:eastAsia="en-US"/>
        </w:rPr>
        <w:t>profissional.</w:t>
      </w:r>
    </w:p>
    <w:p w14:paraId="0CE6D5EF" w14:textId="588FA82B" w:rsidR="00AE1AF9" w:rsidRDefault="004A5323" w:rsidP="00AE1AF9">
      <w:pPr>
        <w:rPr>
          <w:rFonts w:cs="Arial"/>
        </w:rPr>
      </w:pPr>
      <w:r>
        <w:rPr>
          <w:rFonts w:cs="Arial"/>
        </w:rPr>
        <w:t>A</w:t>
      </w:r>
      <w:r w:rsidR="00AE1AF9">
        <w:rPr>
          <w:rFonts w:cs="Arial"/>
        </w:rPr>
        <w:t>lém de pro</w:t>
      </w:r>
      <w:r w:rsidR="006C5AD0">
        <w:rPr>
          <w:rFonts w:cs="Arial"/>
        </w:rPr>
        <w:t>porcionar</w:t>
      </w:r>
      <w:r w:rsidR="00AE1AF9">
        <w:rPr>
          <w:rFonts w:cs="Arial"/>
        </w:rPr>
        <w:t xml:space="preserve"> a aprendizagem ativa</w:t>
      </w:r>
      <w:r w:rsidR="00582CA6">
        <w:rPr>
          <w:rFonts w:cs="Arial"/>
        </w:rPr>
        <w:t xml:space="preserve"> (OBLINGER, 2004)</w:t>
      </w:r>
      <w:r w:rsidR="00AE1AF9">
        <w:rPr>
          <w:rFonts w:cs="Arial"/>
        </w:rPr>
        <w:t xml:space="preserve">, </w:t>
      </w:r>
      <w:r w:rsidR="00217103">
        <w:rPr>
          <w:rFonts w:cs="Arial"/>
        </w:rPr>
        <w:t xml:space="preserve">os jogos de empresas </w:t>
      </w:r>
      <w:r w:rsidR="006C5AD0">
        <w:rPr>
          <w:rFonts w:cs="Arial"/>
        </w:rPr>
        <w:t xml:space="preserve">e as </w:t>
      </w:r>
      <w:r w:rsidR="00AE1AF9">
        <w:rPr>
          <w:rFonts w:cs="Arial"/>
        </w:rPr>
        <w:t>simulações empresariais</w:t>
      </w:r>
      <w:r>
        <w:rPr>
          <w:rFonts w:cs="Arial"/>
        </w:rPr>
        <w:t xml:space="preserve"> </w:t>
      </w:r>
      <w:r w:rsidR="001F26C4">
        <w:rPr>
          <w:rFonts w:cs="Arial"/>
        </w:rPr>
        <w:t>estimulam os</w:t>
      </w:r>
      <w:r w:rsidR="00AE1AF9">
        <w:rPr>
          <w:rFonts w:cs="Arial"/>
        </w:rPr>
        <w:t xml:space="preserve"> </w:t>
      </w:r>
      <w:r>
        <w:rPr>
          <w:rFonts w:cs="Arial"/>
        </w:rPr>
        <w:t>participantes</w:t>
      </w:r>
      <w:r w:rsidR="001F26C4">
        <w:rPr>
          <w:rFonts w:cs="Arial"/>
        </w:rPr>
        <w:t xml:space="preserve"> a exercitarem</w:t>
      </w:r>
      <w:r>
        <w:rPr>
          <w:rFonts w:cs="Arial"/>
        </w:rPr>
        <w:t xml:space="preserve"> estratégia</w:t>
      </w:r>
      <w:r w:rsidR="00813FC8">
        <w:rPr>
          <w:rFonts w:cs="Arial"/>
        </w:rPr>
        <w:t>s</w:t>
      </w:r>
      <w:r>
        <w:rPr>
          <w:rFonts w:cs="Arial"/>
        </w:rPr>
        <w:t xml:space="preserve"> competitivas</w:t>
      </w:r>
      <w:r w:rsidR="00AE1AF9">
        <w:rPr>
          <w:rFonts w:cs="Arial"/>
        </w:rPr>
        <w:t>,</w:t>
      </w:r>
      <w:r>
        <w:rPr>
          <w:rFonts w:cs="Arial"/>
        </w:rPr>
        <w:t xml:space="preserve"> </w:t>
      </w:r>
      <w:r w:rsidR="00813FC8">
        <w:rPr>
          <w:rFonts w:cs="Arial"/>
        </w:rPr>
        <w:t>enfrentando diversas situações do cotidiano de uma organização</w:t>
      </w:r>
      <w:r w:rsidR="00AE1AF9">
        <w:rPr>
          <w:rFonts w:cs="Arial"/>
        </w:rPr>
        <w:t>, tanto relacionadas ao seu contexto interno, como ao mercado no</w:t>
      </w:r>
      <w:r w:rsidR="00BB7789">
        <w:rPr>
          <w:rFonts w:cs="Arial"/>
        </w:rPr>
        <w:t xml:space="preserve"> qual se insere, </w:t>
      </w:r>
      <w:r w:rsidR="00C53607">
        <w:rPr>
          <w:rFonts w:cs="Arial"/>
        </w:rPr>
        <w:t>levando o aluno a</w:t>
      </w:r>
      <w:r w:rsidR="00E10CD1">
        <w:rPr>
          <w:rFonts w:cs="Arial"/>
        </w:rPr>
        <w:t xml:space="preserve"> </w:t>
      </w:r>
      <w:r w:rsidR="001F26C4">
        <w:rPr>
          <w:rFonts w:cs="Arial"/>
        </w:rPr>
        <w:t>vivenciar a</w:t>
      </w:r>
      <w:r w:rsidR="00AE1AF9">
        <w:rPr>
          <w:rFonts w:cs="Arial"/>
        </w:rPr>
        <w:t xml:space="preserve"> tomada de decisões sob condições próximas às reais</w:t>
      </w:r>
      <w:r w:rsidR="00813FC8">
        <w:rPr>
          <w:rFonts w:cs="Arial"/>
        </w:rPr>
        <w:t xml:space="preserve">, </w:t>
      </w:r>
      <w:r>
        <w:rPr>
          <w:rFonts w:cs="Arial"/>
        </w:rPr>
        <w:t>sem</w:t>
      </w:r>
      <w:r w:rsidR="001F26C4">
        <w:rPr>
          <w:rFonts w:cs="Arial"/>
        </w:rPr>
        <w:t>, no entanto,</w:t>
      </w:r>
      <w:r>
        <w:rPr>
          <w:rFonts w:cs="Arial"/>
        </w:rPr>
        <w:t xml:space="preserve"> sofrer </w:t>
      </w:r>
      <w:r w:rsidR="00C53607">
        <w:rPr>
          <w:rFonts w:cs="Arial"/>
        </w:rPr>
        <w:t>a</w:t>
      </w:r>
      <w:r>
        <w:rPr>
          <w:rFonts w:cs="Arial"/>
        </w:rPr>
        <w:t>s consequências</w:t>
      </w:r>
      <w:r w:rsidR="001F26C4">
        <w:rPr>
          <w:rFonts w:cs="Arial"/>
        </w:rPr>
        <w:t xml:space="preserve"> de deliberações</w:t>
      </w:r>
      <w:r w:rsidR="00BB7789">
        <w:rPr>
          <w:rFonts w:cs="Arial"/>
        </w:rPr>
        <w:t xml:space="preserve"> erradas </w:t>
      </w:r>
      <w:r w:rsidR="00813FC8" w:rsidRPr="00682EAF">
        <w:rPr>
          <w:rFonts w:cs="Arial"/>
        </w:rPr>
        <w:t>(MARQUES; PESSOA; SAUAIA, 2004)</w:t>
      </w:r>
      <w:r w:rsidR="00813FC8">
        <w:rPr>
          <w:rFonts w:cs="Arial"/>
        </w:rPr>
        <w:t>.</w:t>
      </w:r>
    </w:p>
    <w:p w14:paraId="0EA9E202" w14:textId="77777777" w:rsidR="005F7931" w:rsidRDefault="005F7931" w:rsidP="005F7931">
      <w:pPr>
        <w:rPr>
          <w:rFonts w:cs="Arial"/>
        </w:rPr>
      </w:pPr>
      <w:r>
        <w:rPr>
          <w:rFonts w:cs="Arial"/>
        </w:rPr>
        <w:t xml:space="preserve">Diversos são os fatores que justificam </w:t>
      </w:r>
      <w:r w:rsidR="00CF3782">
        <w:rPr>
          <w:rFonts w:cs="Arial"/>
        </w:rPr>
        <w:t xml:space="preserve">a boa </w:t>
      </w:r>
      <w:r w:rsidR="00CF3782" w:rsidRPr="00CF3782">
        <w:rPr>
          <w:rFonts w:cs="Arial"/>
          <w:i/>
        </w:rPr>
        <w:t>performance</w:t>
      </w:r>
      <w:r w:rsidR="00CF3782">
        <w:rPr>
          <w:rFonts w:cs="Arial"/>
        </w:rPr>
        <w:t xml:space="preserve"> </w:t>
      </w:r>
      <w:r>
        <w:rPr>
          <w:rFonts w:cs="Arial"/>
        </w:rPr>
        <w:t xml:space="preserve">dos participantes em jogos de </w:t>
      </w:r>
      <w:r w:rsidRPr="00682EAF">
        <w:rPr>
          <w:rFonts w:cs="Arial"/>
        </w:rPr>
        <w:t xml:space="preserve">simulação, </w:t>
      </w:r>
      <w:r w:rsidR="00CF3782">
        <w:rPr>
          <w:rFonts w:cs="Arial"/>
        </w:rPr>
        <w:t xml:space="preserve">dentre os quais destacam-se o </w:t>
      </w:r>
      <w:r w:rsidRPr="00682EAF">
        <w:rPr>
          <w:rFonts w:cs="Arial"/>
        </w:rPr>
        <w:t>desempenho acadêmico, o aprendizado do estudante durante a competição, os traços de personalidade, o estilo de tomada de decisão dos participantes e o grau de planejamento formal dos times (WELLINGTON; FARIA; WHITELEY, 1997).</w:t>
      </w:r>
    </w:p>
    <w:p w14:paraId="26501256" w14:textId="77777777" w:rsidR="001F26C4" w:rsidRDefault="001F26C4" w:rsidP="001F26C4">
      <w:r w:rsidRPr="0090669E">
        <w:rPr>
          <w:rFonts w:cs="Arial"/>
        </w:rPr>
        <w:t>Al</w:t>
      </w:r>
      <w:r>
        <w:rPr>
          <w:rFonts w:cs="Arial"/>
        </w:rPr>
        <w:t>ém disso, a</w:t>
      </w:r>
      <w:r w:rsidR="00CF3782">
        <w:rPr>
          <w:rFonts w:cs="Arial"/>
        </w:rPr>
        <w:t xml:space="preserve">lguns elementos corroboram </w:t>
      </w:r>
      <w:r>
        <w:rPr>
          <w:rFonts w:cs="Arial"/>
        </w:rPr>
        <w:t xml:space="preserve">o bom desempenho gerencial e devem ser focalizados no processo de aprendizado.  O termo competência busca qualificar uma pessoa apta a realizar suas atividades com destreza, no momento atual, possuindo atributos que </w:t>
      </w:r>
      <w:r>
        <w:t>envolvem as três dimensões: o “saber” (conhecimentos), o “saber fazer” (habilidades) e o “saber ser” (atitudes) (AMARAL, 2006; AMARAL et al., 2008).</w:t>
      </w:r>
    </w:p>
    <w:p w14:paraId="68DC3C24" w14:textId="1F5932E9" w:rsidR="00813FC8" w:rsidRPr="00022D19" w:rsidRDefault="00EA56C7" w:rsidP="00022D19">
      <w:pPr>
        <w:rPr>
          <w:rFonts w:cs="Arial"/>
        </w:rPr>
      </w:pPr>
      <w:r>
        <w:rPr>
          <w:rFonts w:cs="Arial"/>
        </w:rPr>
        <w:lastRenderedPageBreak/>
        <w:t>E</w:t>
      </w:r>
      <w:r w:rsidR="005F7931">
        <w:rPr>
          <w:rFonts w:cs="Arial"/>
        </w:rPr>
        <w:t>ste trabalho</w:t>
      </w:r>
      <w:r w:rsidR="00530AB3">
        <w:rPr>
          <w:rFonts w:cs="Arial"/>
        </w:rPr>
        <w:t xml:space="preserve"> objetiv</w:t>
      </w:r>
      <w:r w:rsidR="003A33E1">
        <w:rPr>
          <w:rFonts w:cs="Arial"/>
        </w:rPr>
        <w:t>a</w:t>
      </w:r>
      <w:r w:rsidR="00530AB3">
        <w:rPr>
          <w:rFonts w:cs="Arial"/>
        </w:rPr>
        <w:t xml:space="preserve"> </w:t>
      </w:r>
      <w:r w:rsidR="003A33E1">
        <w:rPr>
          <w:rFonts w:cs="Arial"/>
        </w:rPr>
        <w:t>identificar</w:t>
      </w:r>
      <w:r w:rsidR="005F7931">
        <w:rPr>
          <w:rFonts w:cs="Arial"/>
        </w:rPr>
        <w:t xml:space="preserve"> os atributos de competência mais utilizados pelos participantes</w:t>
      </w:r>
      <w:r w:rsidR="00AF333A">
        <w:rPr>
          <w:rFonts w:cs="Arial"/>
        </w:rPr>
        <w:t xml:space="preserve"> de simulações empresariais</w:t>
      </w:r>
      <w:r w:rsidR="005F7931">
        <w:rPr>
          <w:rFonts w:cs="Arial"/>
        </w:rPr>
        <w:t xml:space="preserve"> durante</w:t>
      </w:r>
      <w:r w:rsidR="00530AB3">
        <w:rPr>
          <w:rFonts w:cs="Arial"/>
        </w:rPr>
        <w:t xml:space="preserve"> o processo de tomada de decisão</w:t>
      </w:r>
      <w:r w:rsidR="00982EE6">
        <w:rPr>
          <w:rFonts w:cs="Arial"/>
        </w:rPr>
        <w:t>, com base na opinião deles</w:t>
      </w:r>
      <w:r w:rsidR="001561D5">
        <w:rPr>
          <w:rFonts w:cs="Arial"/>
        </w:rPr>
        <w:t>.</w:t>
      </w:r>
    </w:p>
    <w:p w14:paraId="63FC152E" w14:textId="1860FAFB" w:rsidR="00742CB4" w:rsidRPr="00155AE3" w:rsidRDefault="00CC261F" w:rsidP="00155AE3">
      <w:pPr>
        <w:rPr>
          <w:rFonts w:cs="Arial"/>
        </w:rPr>
      </w:pPr>
      <w:r>
        <w:rPr>
          <w:rFonts w:cs="Arial"/>
        </w:rPr>
        <w:t>O</w:t>
      </w:r>
      <w:r w:rsidR="00022D19">
        <w:rPr>
          <w:rFonts w:cs="Arial"/>
        </w:rPr>
        <w:t xml:space="preserve"> presente artigo </w:t>
      </w:r>
      <w:r>
        <w:rPr>
          <w:rFonts w:cs="Arial"/>
        </w:rPr>
        <w:t>está organizado</w:t>
      </w:r>
      <w:r w:rsidR="00871E3B">
        <w:rPr>
          <w:rFonts w:cs="Arial"/>
        </w:rPr>
        <w:t xml:space="preserve"> em quatro partes. </w:t>
      </w:r>
      <w:r>
        <w:rPr>
          <w:rFonts w:cs="Arial"/>
        </w:rPr>
        <w:t>A</w:t>
      </w:r>
      <w:r w:rsidR="003A33E1">
        <w:rPr>
          <w:rFonts w:cs="Arial"/>
        </w:rPr>
        <w:t xml:space="preserve"> p</w:t>
      </w:r>
      <w:r w:rsidR="00871E3B">
        <w:rPr>
          <w:rFonts w:cs="Arial"/>
        </w:rPr>
        <w:t>rimeira</w:t>
      </w:r>
      <w:r w:rsidR="004A5323">
        <w:rPr>
          <w:rFonts w:cs="Arial"/>
        </w:rPr>
        <w:t xml:space="preserve"> </w:t>
      </w:r>
      <w:r>
        <w:rPr>
          <w:rFonts w:cs="Arial"/>
        </w:rPr>
        <w:t>dedica-se a fazer</w:t>
      </w:r>
      <w:r w:rsidR="004A5323">
        <w:rPr>
          <w:rFonts w:cs="Arial"/>
        </w:rPr>
        <w:t xml:space="preserve"> um breve histórico da aplicação de </w:t>
      </w:r>
      <w:r w:rsidR="00AE1AF9">
        <w:rPr>
          <w:rFonts w:cs="Arial"/>
        </w:rPr>
        <w:t>jogos empresariais</w:t>
      </w:r>
      <w:r w:rsidR="004A5323">
        <w:rPr>
          <w:rFonts w:cs="Arial"/>
        </w:rPr>
        <w:t xml:space="preserve"> e</w:t>
      </w:r>
      <w:r w:rsidR="00C265D1">
        <w:rPr>
          <w:rFonts w:cs="Arial"/>
        </w:rPr>
        <w:t xml:space="preserve"> </w:t>
      </w:r>
      <w:r w:rsidR="00022D19">
        <w:rPr>
          <w:rFonts w:cs="Arial"/>
        </w:rPr>
        <w:t>a</w:t>
      </w:r>
      <w:r w:rsidR="00C265D1">
        <w:rPr>
          <w:rFonts w:cs="Arial"/>
        </w:rPr>
        <w:t>s</w:t>
      </w:r>
      <w:r w:rsidR="00022D19">
        <w:rPr>
          <w:rFonts w:cs="Arial"/>
        </w:rPr>
        <w:t xml:space="preserve"> competência</w:t>
      </w:r>
      <w:r w:rsidR="00517F97">
        <w:rPr>
          <w:rFonts w:cs="Arial"/>
        </w:rPr>
        <w:t>s</w:t>
      </w:r>
      <w:r w:rsidR="00022D19">
        <w:rPr>
          <w:rFonts w:cs="Arial"/>
        </w:rPr>
        <w:t xml:space="preserve"> </w:t>
      </w:r>
      <w:r w:rsidR="00517F97">
        <w:rPr>
          <w:rFonts w:cs="Arial"/>
        </w:rPr>
        <w:t xml:space="preserve">normalmente </w:t>
      </w:r>
      <w:r w:rsidR="006208E0">
        <w:rPr>
          <w:rFonts w:cs="Arial"/>
        </w:rPr>
        <w:t>associadas ao</w:t>
      </w:r>
      <w:r w:rsidR="00517F97">
        <w:rPr>
          <w:rFonts w:cs="Arial"/>
        </w:rPr>
        <w:t xml:space="preserve"> uso deles</w:t>
      </w:r>
      <w:r w:rsidR="00022D19">
        <w:rPr>
          <w:rFonts w:cs="Arial"/>
        </w:rPr>
        <w:t xml:space="preserve">. </w:t>
      </w:r>
      <w:r w:rsidR="00332839">
        <w:rPr>
          <w:rFonts w:cs="Arial"/>
        </w:rPr>
        <w:t>Na segunda,</w:t>
      </w:r>
      <w:r w:rsidR="004A5323">
        <w:rPr>
          <w:rFonts w:cs="Arial"/>
        </w:rPr>
        <w:t xml:space="preserve"> </w:t>
      </w:r>
      <w:r w:rsidR="00332839">
        <w:rPr>
          <w:rFonts w:cs="Arial"/>
        </w:rPr>
        <w:t xml:space="preserve">é </w:t>
      </w:r>
      <w:r w:rsidR="00022D19">
        <w:rPr>
          <w:rFonts w:cs="Arial"/>
        </w:rPr>
        <w:t>apresent</w:t>
      </w:r>
      <w:r w:rsidR="00332839">
        <w:rPr>
          <w:rFonts w:cs="Arial"/>
        </w:rPr>
        <w:t>ad</w:t>
      </w:r>
      <w:r w:rsidR="00022D19">
        <w:rPr>
          <w:rFonts w:cs="Arial"/>
        </w:rPr>
        <w:t xml:space="preserve">o </w:t>
      </w:r>
      <w:r w:rsidR="00332839">
        <w:rPr>
          <w:rFonts w:cs="Arial"/>
        </w:rPr>
        <w:t>o m</w:t>
      </w:r>
      <w:r w:rsidR="006578A3">
        <w:rPr>
          <w:rFonts w:cs="Arial"/>
        </w:rPr>
        <w:t>étodo de pesquisa utilizado</w:t>
      </w:r>
      <w:r w:rsidR="00022D19">
        <w:rPr>
          <w:rFonts w:cs="Arial"/>
        </w:rPr>
        <w:t xml:space="preserve"> e</w:t>
      </w:r>
      <w:r>
        <w:rPr>
          <w:rFonts w:cs="Arial"/>
        </w:rPr>
        <w:t xml:space="preserve">, na terceira, </w:t>
      </w:r>
      <w:r w:rsidR="00022D19">
        <w:rPr>
          <w:rFonts w:cs="Arial"/>
        </w:rPr>
        <w:t xml:space="preserve">os resultados </w:t>
      </w:r>
      <w:r w:rsidR="004A5323">
        <w:rPr>
          <w:rFonts w:cs="Arial"/>
        </w:rPr>
        <w:t>obtidos</w:t>
      </w:r>
      <w:r w:rsidR="00022D19">
        <w:rPr>
          <w:rFonts w:cs="Arial"/>
        </w:rPr>
        <w:t xml:space="preserve">, tanto na </w:t>
      </w:r>
      <w:r w:rsidR="001F26C4">
        <w:rPr>
          <w:rFonts w:cs="Arial"/>
        </w:rPr>
        <w:t xml:space="preserve">etapa de avaliação da ferramenta de jogos de simulação, como na </w:t>
      </w:r>
      <w:r w:rsidR="00022D19">
        <w:rPr>
          <w:rFonts w:cs="Arial"/>
        </w:rPr>
        <w:t>etapa de avaliaç</w:t>
      </w:r>
      <w:r w:rsidR="001F26C4">
        <w:rPr>
          <w:rFonts w:cs="Arial"/>
        </w:rPr>
        <w:t>ão dos atributos de competência</w:t>
      </w:r>
      <w:r w:rsidR="00022D19">
        <w:rPr>
          <w:rFonts w:cs="Arial"/>
        </w:rPr>
        <w:t xml:space="preserve">. Por fim, </w:t>
      </w:r>
      <w:r>
        <w:rPr>
          <w:rFonts w:cs="Arial"/>
        </w:rPr>
        <w:t>na quart</w:t>
      </w:r>
      <w:r w:rsidR="00517F97">
        <w:rPr>
          <w:rFonts w:cs="Arial"/>
        </w:rPr>
        <w:t>a</w:t>
      </w:r>
      <w:r>
        <w:rPr>
          <w:rFonts w:cs="Arial"/>
        </w:rPr>
        <w:t xml:space="preserve">, são </w:t>
      </w:r>
      <w:r w:rsidR="00022D19">
        <w:rPr>
          <w:rFonts w:cs="Arial"/>
        </w:rPr>
        <w:t>apresent</w:t>
      </w:r>
      <w:r>
        <w:rPr>
          <w:rFonts w:cs="Arial"/>
        </w:rPr>
        <w:t>adas</w:t>
      </w:r>
      <w:r w:rsidR="004A5323">
        <w:rPr>
          <w:rFonts w:cs="Arial"/>
        </w:rPr>
        <w:t xml:space="preserve"> as conclusões</w:t>
      </w:r>
      <w:r w:rsidR="00022D19">
        <w:rPr>
          <w:rFonts w:cs="Arial"/>
        </w:rPr>
        <w:t xml:space="preserve"> do estudo</w:t>
      </w:r>
      <w:r w:rsidR="004A5323">
        <w:rPr>
          <w:rFonts w:cs="Arial"/>
        </w:rPr>
        <w:t xml:space="preserve">, </w:t>
      </w:r>
      <w:r w:rsidR="00022D19">
        <w:rPr>
          <w:rFonts w:cs="Arial"/>
        </w:rPr>
        <w:t xml:space="preserve">suas </w:t>
      </w:r>
      <w:r w:rsidR="004A5323">
        <w:rPr>
          <w:rFonts w:cs="Arial"/>
        </w:rPr>
        <w:t>limitações e sugestões para trabalhos futuros.</w:t>
      </w:r>
    </w:p>
    <w:p w14:paraId="58C57953" w14:textId="77777777" w:rsidR="0025155C" w:rsidRPr="00682EAF" w:rsidRDefault="0025155C" w:rsidP="005A2C31">
      <w:pPr>
        <w:ind w:firstLine="0"/>
        <w:rPr>
          <w:rFonts w:cs="Arial"/>
          <w:b/>
        </w:rPr>
      </w:pPr>
    </w:p>
    <w:p w14:paraId="2ACC4968" w14:textId="70563DAB" w:rsidR="007140FD" w:rsidRPr="00682EAF" w:rsidRDefault="0025155C" w:rsidP="007140FD">
      <w:pPr>
        <w:spacing w:after="120"/>
        <w:ind w:firstLine="0"/>
        <w:rPr>
          <w:rFonts w:cs="Arial"/>
          <w:b/>
        </w:rPr>
      </w:pPr>
      <w:r w:rsidRPr="00682EAF">
        <w:rPr>
          <w:rFonts w:cs="Arial"/>
          <w:b/>
        </w:rPr>
        <w:t xml:space="preserve">REVISÃO </w:t>
      </w:r>
      <w:r w:rsidR="00EA56C7">
        <w:rPr>
          <w:rFonts w:cs="Arial"/>
          <w:b/>
        </w:rPr>
        <w:t>DA LITERATURA</w:t>
      </w:r>
    </w:p>
    <w:p w14:paraId="7A28F5F7" w14:textId="4C106CD1" w:rsidR="00052FF2" w:rsidRDefault="00760D78" w:rsidP="006578A3">
      <w:pPr>
        <w:spacing w:after="120"/>
        <w:ind w:firstLine="708"/>
        <w:rPr>
          <w:rFonts w:cs="Arial"/>
          <w:b/>
        </w:rPr>
      </w:pPr>
      <w:r w:rsidRPr="006578A3">
        <w:rPr>
          <w:rFonts w:cs="Arial"/>
        </w:rPr>
        <w:t>Nesta seção são apresentados os conceitos associados a</w:t>
      </w:r>
      <w:r w:rsidR="006578A3">
        <w:rPr>
          <w:rFonts w:cs="Arial"/>
        </w:rPr>
        <w:t>os</w:t>
      </w:r>
      <w:r w:rsidRPr="006578A3">
        <w:rPr>
          <w:rFonts w:cs="Arial"/>
        </w:rPr>
        <w:t xml:space="preserve"> Jogos e Simulações Empresariais e o Modelo de Mapeamento de Competências. </w:t>
      </w:r>
    </w:p>
    <w:p w14:paraId="1071071C" w14:textId="77777777" w:rsidR="00303D5D" w:rsidRPr="00FD6970" w:rsidRDefault="00A319E0" w:rsidP="00303D5D">
      <w:pPr>
        <w:rPr>
          <w:rFonts w:cs="Arial"/>
          <w:lang w:val="en-US"/>
        </w:rPr>
      </w:pPr>
      <w:r w:rsidRPr="00682EAF">
        <w:rPr>
          <w:rFonts w:cs="Arial"/>
        </w:rPr>
        <w:t>A origem dos jogos de simulação data de 1955</w:t>
      </w:r>
      <w:r w:rsidR="000C0874" w:rsidRPr="00682EAF">
        <w:rPr>
          <w:rFonts w:cs="Arial"/>
        </w:rPr>
        <w:t xml:space="preserve">, quando a </w:t>
      </w:r>
      <w:r w:rsidR="000C0874" w:rsidRPr="00CF3782">
        <w:rPr>
          <w:rFonts w:cs="Arial"/>
          <w:i/>
        </w:rPr>
        <w:t>Rand Corporation</w:t>
      </w:r>
      <w:r w:rsidR="000C0874" w:rsidRPr="00682EAF">
        <w:rPr>
          <w:rFonts w:cs="Arial"/>
        </w:rPr>
        <w:t xml:space="preserve"> desenvolveu um exercício de simulação denominado </w:t>
      </w:r>
      <w:r w:rsidR="000C0874" w:rsidRPr="00682EAF">
        <w:rPr>
          <w:rFonts w:cs="Arial"/>
          <w:i/>
        </w:rPr>
        <w:t>Monopologs</w:t>
      </w:r>
      <w:r w:rsidR="000C0874" w:rsidRPr="00682EAF">
        <w:rPr>
          <w:rFonts w:cs="Arial"/>
        </w:rPr>
        <w:t>, focado na logística da Força Aérea dos Estados Unidos, cujo principal objetivo era estimular os participantes a executar a gestão do inventário sem os riscos associados às consequências de decis</w:t>
      </w:r>
      <w:r w:rsidR="006E547B" w:rsidRPr="00682EAF">
        <w:rPr>
          <w:rFonts w:cs="Arial"/>
        </w:rPr>
        <w:t>ões erradas (JACKSON, 1959 apud</w:t>
      </w:r>
      <w:r w:rsidR="000C0874" w:rsidRPr="00682EAF">
        <w:rPr>
          <w:rFonts w:cs="Arial"/>
        </w:rPr>
        <w:t xml:space="preserve"> FARIA, 1990).</w:t>
      </w:r>
      <w:r w:rsidR="00015EB0">
        <w:rPr>
          <w:rFonts w:cs="Arial"/>
        </w:rPr>
        <w:t xml:space="preserve"> </w:t>
      </w:r>
      <w:r w:rsidR="00760D78" w:rsidRPr="006578A3">
        <w:rPr>
          <w:rFonts w:cs="Arial"/>
          <w:lang w:val="en-US"/>
        </w:rPr>
        <w:t>Burch Jr. (1969</w:t>
      </w:r>
      <w:r w:rsidR="003211DF">
        <w:rPr>
          <w:rFonts w:cs="Arial"/>
          <w:lang w:val="en-US"/>
        </w:rPr>
        <w:t>, p.</w:t>
      </w:r>
      <w:r w:rsidR="00744E7F">
        <w:rPr>
          <w:rFonts w:cs="Arial"/>
          <w:lang w:val="en-US"/>
        </w:rPr>
        <w:t>49</w:t>
      </w:r>
      <w:r w:rsidR="00760D78" w:rsidRPr="006578A3">
        <w:rPr>
          <w:rFonts w:cs="Arial"/>
          <w:lang w:val="en-US"/>
        </w:rPr>
        <w:t xml:space="preserve">) afirma que “ In May, 1957, twenty corporation presidents gathered in the </w:t>
      </w:r>
      <w:r w:rsidR="00B7025F" w:rsidRPr="00B7025F">
        <w:rPr>
          <w:rFonts w:cs="Arial"/>
          <w:lang w:val="en-US"/>
        </w:rPr>
        <w:t xml:space="preserve">Hotel </w:t>
      </w:r>
      <w:r w:rsidR="00760D78" w:rsidRPr="006578A3">
        <w:rPr>
          <w:rFonts w:cs="Arial"/>
          <w:lang w:val="en-US"/>
        </w:rPr>
        <w:t xml:space="preserve">Astor </w:t>
      </w:r>
      <w:r w:rsidR="00B7025F">
        <w:rPr>
          <w:rFonts w:cs="Arial"/>
          <w:lang w:val="en-US"/>
        </w:rPr>
        <w:t xml:space="preserve">in New York city to demonstrate the first practical </w:t>
      </w:r>
      <w:r w:rsidR="00744E7F">
        <w:rPr>
          <w:rFonts w:cs="Arial"/>
          <w:lang w:val="en-US"/>
        </w:rPr>
        <w:t>‘</w:t>
      </w:r>
      <w:r w:rsidR="003211DF">
        <w:rPr>
          <w:rFonts w:cs="Arial"/>
          <w:lang w:val="en-US"/>
        </w:rPr>
        <w:t>war games</w:t>
      </w:r>
      <w:r w:rsidR="00744E7F">
        <w:rPr>
          <w:rFonts w:cs="Arial"/>
          <w:lang w:val="en-US"/>
        </w:rPr>
        <w:t>’</w:t>
      </w:r>
      <w:r w:rsidR="003211DF">
        <w:rPr>
          <w:rFonts w:cs="Arial"/>
          <w:lang w:val="en-US"/>
        </w:rPr>
        <w:t xml:space="preserve"> for business executives</w:t>
      </w:r>
      <w:r w:rsidR="00744E7F">
        <w:rPr>
          <w:rFonts w:cs="Arial"/>
          <w:lang w:val="en-US"/>
        </w:rPr>
        <w:t>”</w:t>
      </w:r>
      <w:r w:rsidR="003211DF">
        <w:rPr>
          <w:rFonts w:cs="Arial"/>
          <w:lang w:val="en-US"/>
        </w:rPr>
        <w:t>.</w:t>
      </w:r>
    </w:p>
    <w:p w14:paraId="5B2A72BF" w14:textId="5FD8C37B" w:rsidR="00085B3F" w:rsidRPr="00682EAF" w:rsidRDefault="003F0C59" w:rsidP="00303D5D">
      <w:pPr>
        <w:rPr>
          <w:rFonts w:cs="Arial"/>
        </w:rPr>
      </w:pPr>
      <w:r w:rsidRPr="00682EAF">
        <w:rPr>
          <w:rFonts w:cs="Arial"/>
        </w:rPr>
        <w:t xml:space="preserve">No Brasil, a aplicação de jogos de </w:t>
      </w:r>
      <w:r w:rsidR="004F7FE9" w:rsidRPr="00682EAF">
        <w:rPr>
          <w:rFonts w:cs="Arial"/>
        </w:rPr>
        <w:t>empresa</w:t>
      </w:r>
      <w:r w:rsidR="00085B3F" w:rsidRPr="00682EAF">
        <w:rPr>
          <w:rFonts w:cs="Arial"/>
        </w:rPr>
        <w:t xml:space="preserve">riais </w:t>
      </w:r>
      <w:r w:rsidR="004F7FE9" w:rsidRPr="00682EAF">
        <w:rPr>
          <w:rFonts w:cs="Arial"/>
        </w:rPr>
        <w:t xml:space="preserve">teve início na década de 1960, </w:t>
      </w:r>
      <w:r w:rsidR="00CF3782">
        <w:rPr>
          <w:rFonts w:cs="Arial"/>
        </w:rPr>
        <w:t>a partir de programa produzidos no</w:t>
      </w:r>
      <w:r w:rsidR="004F7FE9" w:rsidRPr="00682EAF">
        <w:rPr>
          <w:rFonts w:cs="Arial"/>
        </w:rPr>
        <w:t xml:space="preserve"> exterior, cujo processamento se dava por meio de cartões perfurados </w:t>
      </w:r>
      <w:r w:rsidR="00085B3F" w:rsidRPr="00682EAF">
        <w:rPr>
          <w:rFonts w:cs="Arial"/>
        </w:rPr>
        <w:t xml:space="preserve">por </w:t>
      </w:r>
      <w:r w:rsidR="004F7FE9" w:rsidRPr="00682EAF">
        <w:rPr>
          <w:rFonts w:cs="Arial"/>
        </w:rPr>
        <w:t>grandes computadores</w:t>
      </w:r>
      <w:r w:rsidR="00682EAF" w:rsidRPr="00682EAF">
        <w:rPr>
          <w:rFonts w:cs="Arial"/>
        </w:rPr>
        <w:t>, que depois migrou para os microcomputadores, tornando o processo mais verossímil, ágil e fácil de operar</w:t>
      </w:r>
      <w:r w:rsidR="004F7FE9" w:rsidRPr="00682EAF">
        <w:rPr>
          <w:rFonts w:cs="Arial"/>
        </w:rPr>
        <w:t xml:space="preserve"> (</w:t>
      </w:r>
      <w:r w:rsidR="00813FC8">
        <w:rPr>
          <w:rFonts w:cs="Arial"/>
        </w:rPr>
        <w:t xml:space="preserve">SAUAIA, 1995; </w:t>
      </w:r>
      <w:r w:rsidR="004F7FE9" w:rsidRPr="00682EAF">
        <w:rPr>
          <w:rFonts w:cs="Arial"/>
        </w:rPr>
        <w:t xml:space="preserve">MARQUES; PESSOA; </w:t>
      </w:r>
      <w:r w:rsidR="00813FC8">
        <w:rPr>
          <w:rFonts w:cs="Arial"/>
        </w:rPr>
        <w:t>SAUAIA, 2004</w:t>
      </w:r>
      <w:r w:rsidR="004F7FE9" w:rsidRPr="00682EAF">
        <w:rPr>
          <w:rFonts w:cs="Arial"/>
        </w:rPr>
        <w:t xml:space="preserve">). </w:t>
      </w:r>
      <w:r w:rsidR="00682EAF" w:rsidRPr="00682EAF">
        <w:rPr>
          <w:rFonts w:cs="Arial"/>
        </w:rPr>
        <w:t xml:space="preserve"> </w:t>
      </w:r>
      <w:r w:rsidR="005F5994">
        <w:rPr>
          <w:rFonts w:cs="Arial"/>
        </w:rPr>
        <w:t xml:space="preserve">Outra referência </w:t>
      </w:r>
      <w:r w:rsidR="00DA4F0D">
        <w:rPr>
          <w:rFonts w:cs="Arial"/>
        </w:rPr>
        <w:t xml:space="preserve">em relação ao Brasil </w:t>
      </w:r>
      <w:r w:rsidR="005F5994">
        <w:rPr>
          <w:rFonts w:cs="Arial"/>
        </w:rPr>
        <w:t xml:space="preserve">é </w:t>
      </w:r>
      <w:r w:rsidR="009C296C">
        <w:rPr>
          <w:rFonts w:cs="Arial"/>
        </w:rPr>
        <w:t>Goldschmidt (1977)</w:t>
      </w:r>
      <w:r w:rsidR="005F5994">
        <w:rPr>
          <w:rFonts w:cs="Arial"/>
        </w:rPr>
        <w:t>, que relatou ter experimentado o uso de jogos por volta de 19</w:t>
      </w:r>
      <w:r w:rsidR="00060E23">
        <w:rPr>
          <w:rFonts w:cs="Arial"/>
        </w:rPr>
        <w:t>6</w:t>
      </w:r>
      <w:r w:rsidR="005F5994">
        <w:rPr>
          <w:rFonts w:cs="Arial"/>
        </w:rPr>
        <w:t>7.</w:t>
      </w:r>
      <w:r w:rsidR="0043707C">
        <w:rPr>
          <w:rFonts w:cs="Arial"/>
        </w:rPr>
        <w:t xml:space="preserve"> De acordo com Santos e Lovato (2007)</w:t>
      </w:r>
      <w:r w:rsidR="000C5357">
        <w:rPr>
          <w:rFonts w:cs="Arial"/>
        </w:rPr>
        <w:t>,</w:t>
      </w:r>
      <w:r w:rsidR="0043707C">
        <w:rPr>
          <w:rFonts w:cs="Arial"/>
        </w:rPr>
        <w:t xml:space="preserve"> o uso de jogos de empresas intensificou-se a partir da d</w:t>
      </w:r>
      <w:r w:rsidR="008E37BD">
        <w:rPr>
          <w:rFonts w:cs="Arial"/>
        </w:rPr>
        <w:t xml:space="preserve">écada de 1990. Ainda segundo os autores, colaboraram para isso o desenvolvimento e oferta de jogos no mercado brasileiro, e a sugestão do Ministério da Educação brasileiro de introduzir </w:t>
      </w:r>
      <w:r w:rsidR="00F83195">
        <w:t>metodologias alternativas ao ensino/aprendizagem nos cursos de nível superior.</w:t>
      </w:r>
    </w:p>
    <w:p w14:paraId="0680DE5C" w14:textId="19D040B8" w:rsidR="003F0C59" w:rsidRPr="00682EAF" w:rsidRDefault="004F7FE9" w:rsidP="00303D5D">
      <w:pPr>
        <w:rPr>
          <w:rFonts w:cs="Arial"/>
        </w:rPr>
      </w:pPr>
      <w:r w:rsidRPr="00682EAF">
        <w:rPr>
          <w:rFonts w:cs="Arial"/>
        </w:rPr>
        <w:t xml:space="preserve">Atualmente, as simulações </w:t>
      </w:r>
      <w:r w:rsidR="00E652E4">
        <w:rPr>
          <w:rFonts w:cs="Arial"/>
        </w:rPr>
        <w:t xml:space="preserve">e jogos </w:t>
      </w:r>
      <w:r w:rsidRPr="00682EAF">
        <w:rPr>
          <w:rFonts w:cs="Arial"/>
        </w:rPr>
        <w:t>empresariais são utilizad</w:t>
      </w:r>
      <w:r w:rsidR="0012497E">
        <w:rPr>
          <w:rFonts w:cs="Arial"/>
        </w:rPr>
        <w:t>o</w:t>
      </w:r>
      <w:r w:rsidRPr="00682EAF">
        <w:rPr>
          <w:rFonts w:cs="Arial"/>
        </w:rPr>
        <w:t>s por diversas institu</w:t>
      </w:r>
      <w:r w:rsidR="00EC5713" w:rsidRPr="00682EAF">
        <w:rPr>
          <w:rFonts w:cs="Arial"/>
        </w:rPr>
        <w:t>ições de ensino,</w:t>
      </w:r>
      <w:r w:rsidR="00BF140E" w:rsidRPr="00682EAF">
        <w:rPr>
          <w:rFonts w:cs="Arial"/>
        </w:rPr>
        <w:t xml:space="preserve"> </w:t>
      </w:r>
      <w:r w:rsidR="00EC5713" w:rsidRPr="00682EAF">
        <w:rPr>
          <w:rFonts w:cs="Arial"/>
        </w:rPr>
        <w:t xml:space="preserve">empresas de treinamento e </w:t>
      </w:r>
      <w:r w:rsidR="00BF140E" w:rsidRPr="00682EAF">
        <w:rPr>
          <w:rFonts w:cs="Arial"/>
        </w:rPr>
        <w:t>universidades</w:t>
      </w:r>
      <w:r w:rsidR="00EC5713" w:rsidRPr="00682EAF">
        <w:rPr>
          <w:rFonts w:cs="Arial"/>
        </w:rPr>
        <w:t xml:space="preserve">, que por muitas vezes possuem áreas e pesquisa e desenvolvimento voltadas à atividade (MARQUES; PESSOA; SAUAIA, 2004). </w:t>
      </w:r>
    </w:p>
    <w:p w14:paraId="18DF2227" w14:textId="77777777" w:rsidR="00AE1AF9" w:rsidRDefault="00382EE8" w:rsidP="00AE1AF9">
      <w:pPr>
        <w:rPr>
          <w:rFonts w:cs="Arial"/>
        </w:rPr>
      </w:pPr>
      <w:r w:rsidRPr="00682EAF">
        <w:rPr>
          <w:rFonts w:cs="Arial"/>
        </w:rPr>
        <w:lastRenderedPageBreak/>
        <w:t xml:space="preserve">A </w:t>
      </w:r>
      <w:r w:rsidR="00682EAF" w:rsidRPr="00682EAF">
        <w:rPr>
          <w:rFonts w:cs="Arial"/>
        </w:rPr>
        <w:t xml:space="preserve">partir da aplicação dos Jogos de Empresas ou Jogos de Negócios, é possível simular </w:t>
      </w:r>
      <w:r w:rsidR="00AE1AF9">
        <w:rPr>
          <w:rFonts w:cs="Arial"/>
        </w:rPr>
        <w:t xml:space="preserve">diversas situações do cotidiano </w:t>
      </w:r>
      <w:r w:rsidR="00682EAF" w:rsidRPr="00682EAF">
        <w:rPr>
          <w:rFonts w:cs="Arial"/>
        </w:rPr>
        <w:t>de pequenas, médias e grandes empresas e até mesmo corporações internacionais,</w:t>
      </w:r>
      <w:r w:rsidR="00AE1AF9">
        <w:rPr>
          <w:rFonts w:cs="Arial"/>
        </w:rPr>
        <w:t xml:space="preserve"> tanto relacionadas ao</w:t>
      </w:r>
      <w:r w:rsidR="00CF3782">
        <w:rPr>
          <w:rFonts w:cs="Arial"/>
        </w:rPr>
        <w:t>s</w:t>
      </w:r>
      <w:r w:rsidR="00AE1AF9">
        <w:rPr>
          <w:rFonts w:cs="Arial"/>
        </w:rPr>
        <w:t xml:space="preserve"> seu</w:t>
      </w:r>
      <w:r w:rsidR="001979FD">
        <w:rPr>
          <w:rFonts w:cs="Arial"/>
        </w:rPr>
        <w:t>s</w:t>
      </w:r>
      <w:r w:rsidR="00AE1AF9">
        <w:rPr>
          <w:rFonts w:cs="Arial"/>
        </w:rPr>
        <w:t xml:space="preserve"> contexto</w:t>
      </w:r>
      <w:r w:rsidR="00CF3782">
        <w:rPr>
          <w:rFonts w:cs="Arial"/>
        </w:rPr>
        <w:t>s</w:t>
      </w:r>
      <w:r w:rsidR="00AE1AF9">
        <w:rPr>
          <w:rFonts w:cs="Arial"/>
        </w:rPr>
        <w:t xml:space="preserve"> interno</w:t>
      </w:r>
      <w:r w:rsidR="00CF3782">
        <w:rPr>
          <w:rFonts w:cs="Arial"/>
        </w:rPr>
        <w:t>s</w:t>
      </w:r>
      <w:r w:rsidR="00AE1AF9">
        <w:rPr>
          <w:rFonts w:cs="Arial"/>
        </w:rPr>
        <w:t>, como ao</w:t>
      </w:r>
      <w:r w:rsidR="00CF3782">
        <w:rPr>
          <w:rFonts w:cs="Arial"/>
        </w:rPr>
        <w:t>s</w:t>
      </w:r>
      <w:r w:rsidR="00AE1AF9">
        <w:rPr>
          <w:rFonts w:cs="Arial"/>
        </w:rPr>
        <w:t xml:space="preserve"> mercado</w:t>
      </w:r>
      <w:r w:rsidR="00CF3782">
        <w:rPr>
          <w:rFonts w:cs="Arial"/>
        </w:rPr>
        <w:t>s</w:t>
      </w:r>
      <w:r w:rsidR="00AE1AF9">
        <w:rPr>
          <w:rFonts w:cs="Arial"/>
        </w:rPr>
        <w:t xml:space="preserve"> no</w:t>
      </w:r>
      <w:r w:rsidR="00CF3782">
        <w:rPr>
          <w:rFonts w:cs="Arial"/>
        </w:rPr>
        <w:t>s quais</w:t>
      </w:r>
      <w:r w:rsidR="00AE1AF9">
        <w:rPr>
          <w:rFonts w:cs="Arial"/>
        </w:rPr>
        <w:t xml:space="preserve"> se insere</w:t>
      </w:r>
      <w:r w:rsidR="00CF3782">
        <w:rPr>
          <w:rFonts w:cs="Arial"/>
        </w:rPr>
        <w:t>m</w:t>
      </w:r>
      <w:r w:rsidR="00AE1AF9">
        <w:rPr>
          <w:rFonts w:cs="Arial"/>
        </w:rPr>
        <w:t xml:space="preserve">, </w:t>
      </w:r>
      <w:r w:rsidR="00682EAF" w:rsidRPr="00682EAF">
        <w:rPr>
          <w:rFonts w:cs="Arial"/>
        </w:rPr>
        <w:t xml:space="preserve">proporcionando aos participantes, sejam eles alunos ou profissionais atuantes no mercado, a possibilidade de experimentar e vivenciar o processo gerencial, </w:t>
      </w:r>
      <w:r w:rsidR="00407F22">
        <w:rPr>
          <w:rFonts w:cs="Arial"/>
        </w:rPr>
        <w:t xml:space="preserve">sem </w:t>
      </w:r>
      <w:r w:rsidR="00682EAF" w:rsidRPr="00682EAF">
        <w:rPr>
          <w:rFonts w:cs="Arial"/>
        </w:rPr>
        <w:t xml:space="preserve">que suas decisões incorram em </w:t>
      </w:r>
      <w:r w:rsidR="00407F22">
        <w:rPr>
          <w:rFonts w:cs="Arial"/>
        </w:rPr>
        <w:t xml:space="preserve">falhas que </w:t>
      </w:r>
      <w:r w:rsidR="00CF3782">
        <w:rPr>
          <w:rFonts w:cs="Arial"/>
        </w:rPr>
        <w:t>resultariam</w:t>
      </w:r>
      <w:r w:rsidR="00682EAF" w:rsidRPr="00682EAF">
        <w:rPr>
          <w:rFonts w:cs="Arial"/>
        </w:rPr>
        <w:t xml:space="preserve"> consequências reais (SAUAIA, 1995</w:t>
      </w:r>
      <w:r w:rsidR="00AE1AF9">
        <w:rPr>
          <w:rFonts w:cs="Arial"/>
        </w:rPr>
        <w:t xml:space="preserve">; </w:t>
      </w:r>
      <w:r w:rsidR="00AE1AF9" w:rsidRPr="00682EAF">
        <w:rPr>
          <w:rFonts w:cs="Arial"/>
        </w:rPr>
        <w:t>MARQUES; PESSOA; SAUAIA, 2004)</w:t>
      </w:r>
      <w:r w:rsidR="00AE1AF9">
        <w:rPr>
          <w:rFonts w:cs="Arial"/>
        </w:rPr>
        <w:t>.</w:t>
      </w:r>
    </w:p>
    <w:p w14:paraId="432DE485" w14:textId="77777777" w:rsidR="00CF3782" w:rsidRDefault="004A5323" w:rsidP="004A5323">
      <w:pPr>
        <w:rPr>
          <w:rFonts w:cs="Arial"/>
        </w:rPr>
      </w:pPr>
      <w:r w:rsidRPr="00682EAF">
        <w:rPr>
          <w:rFonts w:cs="Arial"/>
        </w:rPr>
        <w:t>Os tipos de aprendizados promovidos pelo uso de jogos incluem</w:t>
      </w:r>
      <w:r w:rsidR="00CF3782">
        <w:rPr>
          <w:rFonts w:cs="Arial"/>
        </w:rPr>
        <w:t xml:space="preserve"> a</w:t>
      </w:r>
      <w:r w:rsidRPr="00682EAF">
        <w:rPr>
          <w:rFonts w:cs="Arial"/>
        </w:rPr>
        <w:t xml:space="preserve"> definição de metas e processamento de informações, comportamento organizacional e habilidade de interação pessoal, previsão de vendas, habilidade empreendedora, análise financeira, conceitos econômicos básicos, gestão de inventário, modelagem matemática, habilidades com recursos humanos, como contratação, treinamento, liderança e motivação, criatividade, comunicação, análise de dados, planejamento formal e preparação de relatórios, entre outros (FARIA; WELLINGTON, 2005).</w:t>
      </w:r>
      <w:r w:rsidR="001B66A6">
        <w:rPr>
          <w:rFonts w:cs="Arial"/>
        </w:rPr>
        <w:t xml:space="preserve"> </w:t>
      </w:r>
    </w:p>
    <w:p w14:paraId="52A49E8D" w14:textId="77777777" w:rsidR="004A5323" w:rsidRDefault="001B66A6" w:rsidP="004A5323">
      <w:pPr>
        <w:rPr>
          <w:rFonts w:cs="Arial"/>
        </w:rPr>
      </w:pPr>
      <w:r>
        <w:rPr>
          <w:rFonts w:cs="Arial"/>
        </w:rPr>
        <w:t xml:space="preserve">Além disso, </w:t>
      </w:r>
      <w:r w:rsidR="005D212A">
        <w:rPr>
          <w:rFonts w:cs="Arial"/>
        </w:rPr>
        <w:t>as simulações</w:t>
      </w:r>
      <w:r>
        <w:rPr>
          <w:rFonts w:cs="Arial"/>
        </w:rPr>
        <w:t xml:space="preserve"> </w:t>
      </w:r>
      <w:r w:rsidR="007D0EDD">
        <w:rPr>
          <w:rFonts w:cs="Arial"/>
        </w:rPr>
        <w:t>estimula</w:t>
      </w:r>
      <w:r w:rsidR="005D212A">
        <w:rPr>
          <w:rFonts w:cs="Arial"/>
        </w:rPr>
        <w:t>m</w:t>
      </w:r>
      <w:r w:rsidR="007D0EDD">
        <w:rPr>
          <w:rFonts w:cs="Arial"/>
        </w:rPr>
        <w:t xml:space="preserve"> a aplicação</w:t>
      </w:r>
      <w:r w:rsidR="005D212A">
        <w:rPr>
          <w:rFonts w:cs="Arial"/>
        </w:rPr>
        <w:t xml:space="preserve"> </w:t>
      </w:r>
      <w:r w:rsidR="001979FD">
        <w:rPr>
          <w:rFonts w:cs="Arial"/>
        </w:rPr>
        <w:t xml:space="preserve">de </w:t>
      </w:r>
      <w:r w:rsidR="005D212A">
        <w:rPr>
          <w:rFonts w:cs="Arial"/>
        </w:rPr>
        <w:t>conhecimentos prévios dos participantes, instigando a utilização de conceitos de estratégia, planejamento de produção, teoria econômica, marketing, finanças e co</w:t>
      </w:r>
      <w:r w:rsidR="00CF3782">
        <w:rPr>
          <w:rFonts w:cs="Arial"/>
        </w:rPr>
        <w:t>ntabilidade em todas as etapas d</w:t>
      </w:r>
      <w:r w:rsidR="005D212A">
        <w:rPr>
          <w:rFonts w:cs="Arial"/>
        </w:rPr>
        <w:t xml:space="preserve">o jogo </w:t>
      </w:r>
      <w:r w:rsidR="005D212A" w:rsidRPr="00682EAF">
        <w:rPr>
          <w:rFonts w:cs="Arial"/>
        </w:rPr>
        <w:t>(MARQUES; PESSOA; SAUAIA, 2004)</w:t>
      </w:r>
      <w:r w:rsidR="005D212A">
        <w:rPr>
          <w:rFonts w:cs="Arial"/>
        </w:rPr>
        <w:t>.</w:t>
      </w:r>
    </w:p>
    <w:p w14:paraId="10637811" w14:textId="4C195301" w:rsidR="00B27D3C" w:rsidRDefault="00B27D3C" w:rsidP="00B27D3C">
      <w:pPr>
        <w:rPr>
          <w:rFonts w:cs="Arial"/>
        </w:rPr>
      </w:pPr>
      <w:r>
        <w:rPr>
          <w:rFonts w:cs="Arial"/>
        </w:rPr>
        <w:t xml:space="preserve">Dentre </w:t>
      </w:r>
      <w:r w:rsidRPr="00682EAF">
        <w:rPr>
          <w:rFonts w:cs="Arial"/>
        </w:rPr>
        <w:t xml:space="preserve">as vantagens dos jogos de simulação, destaca-se o fato de que os participantes podem apresentar desempenhos melhores por conta dos rápidos </w:t>
      </w:r>
      <w:r w:rsidRPr="00682EAF">
        <w:rPr>
          <w:rFonts w:cs="Arial"/>
          <w:i/>
        </w:rPr>
        <w:t xml:space="preserve">feedbacks </w:t>
      </w:r>
      <w:r w:rsidRPr="00682EAF">
        <w:rPr>
          <w:rFonts w:cs="Arial"/>
        </w:rPr>
        <w:t>e das novas perspec</w:t>
      </w:r>
      <w:r>
        <w:rPr>
          <w:rFonts w:cs="Arial"/>
        </w:rPr>
        <w:t>tivas e dimensões oferecidas pelo cenário no qual o jogo se insere</w:t>
      </w:r>
      <w:r w:rsidRPr="00682EAF">
        <w:rPr>
          <w:rFonts w:cs="Arial"/>
        </w:rPr>
        <w:t>.</w:t>
      </w:r>
      <w:r>
        <w:rPr>
          <w:rFonts w:cs="Arial"/>
        </w:rPr>
        <w:t xml:space="preserve"> Soma-se a esse dinamismo, o fato de que</w:t>
      </w:r>
      <w:r w:rsidRPr="00682EAF">
        <w:rPr>
          <w:rFonts w:cs="Arial"/>
        </w:rPr>
        <w:t xml:space="preserve"> o método estimula o envolvimento emocional dos jogadores, </w:t>
      </w:r>
      <w:r>
        <w:rPr>
          <w:rFonts w:cs="Arial"/>
        </w:rPr>
        <w:t xml:space="preserve">promovendo assim </w:t>
      </w:r>
      <w:r w:rsidRPr="00682EAF">
        <w:rPr>
          <w:rFonts w:cs="Arial"/>
        </w:rPr>
        <w:t>um ambiente sólido e realista para o jogo (BURCH JUNIOR, 1986).</w:t>
      </w:r>
      <w:r w:rsidR="00EA56C7">
        <w:rPr>
          <w:rFonts w:cs="Arial"/>
        </w:rPr>
        <w:t xml:space="preserve"> </w:t>
      </w:r>
      <w:r w:rsidR="00EA56C7">
        <w:t>Pasin e Giroux (2011, apud HÜBL</w:t>
      </w:r>
      <w:r w:rsidR="000C5357">
        <w:t xml:space="preserve">; </w:t>
      </w:r>
      <w:r w:rsidR="00EA56C7">
        <w:t xml:space="preserve">FISCHER, 2018) afirmam que as simulações são mais efetivas quando os estudantes precisam tomar decisão para gerir situações complexas e dinâmicas. </w:t>
      </w:r>
      <w:r w:rsidR="00280B32">
        <w:t>H</w:t>
      </w:r>
      <w:r w:rsidR="00280B32" w:rsidRPr="00280B32">
        <w:t>ernandez-</w:t>
      </w:r>
      <w:r w:rsidR="00280B32">
        <w:t>L</w:t>
      </w:r>
      <w:r w:rsidR="00280B32" w:rsidRPr="00280B32">
        <w:t xml:space="preserve">ara e </w:t>
      </w:r>
      <w:r w:rsidR="00280B32">
        <w:t>S</w:t>
      </w:r>
      <w:r w:rsidR="00280B32" w:rsidRPr="00280B32">
        <w:t>erradell-</w:t>
      </w:r>
      <w:r w:rsidR="00280B32">
        <w:t>L</w:t>
      </w:r>
      <w:r w:rsidR="00280B32" w:rsidRPr="00280B32">
        <w:t>opez</w:t>
      </w:r>
      <w:r w:rsidR="000C5357">
        <w:t xml:space="preserve"> (2018)</w:t>
      </w:r>
      <w:r w:rsidR="00280B32">
        <w:t xml:space="preserve"> observaram que aspectos culturais influenciam a aprendizagem com jogos e simulações.</w:t>
      </w:r>
    </w:p>
    <w:p w14:paraId="5301ECC8" w14:textId="1C014D6F" w:rsidR="004A5323" w:rsidRPr="00682EAF" w:rsidRDefault="004A5323" w:rsidP="004A5323">
      <w:pPr>
        <w:rPr>
          <w:rFonts w:cs="Arial"/>
        </w:rPr>
      </w:pPr>
      <w:r w:rsidRPr="00682EAF">
        <w:rPr>
          <w:rFonts w:cs="Arial"/>
        </w:rPr>
        <w:t>Uma série de questões pode</w:t>
      </w:r>
      <w:r w:rsidR="00523E92">
        <w:rPr>
          <w:rFonts w:cs="Arial"/>
        </w:rPr>
        <w:t>m</w:t>
      </w:r>
      <w:r w:rsidRPr="00682EAF">
        <w:rPr>
          <w:rFonts w:cs="Arial"/>
        </w:rPr>
        <w:t xml:space="preserve"> explicar a boa performance dos participantes em jogos de simulação, dentre as quais se destacam o desempenho acadêmico, o aprendizado do estudante durante a competição, os traços de personalidade, o estilo de tomada de decisão dos participantes e o grau de planejamento formal dos times (WELLINGTON; FARIA; WHITELEY, 1997).</w:t>
      </w:r>
    </w:p>
    <w:p w14:paraId="0BE58EE0" w14:textId="77777777" w:rsidR="00742CB4" w:rsidRPr="00682EAF" w:rsidRDefault="009F7DD3" w:rsidP="007F5447">
      <w:pPr>
        <w:rPr>
          <w:rFonts w:cs="Arial"/>
        </w:rPr>
      </w:pPr>
      <w:r w:rsidRPr="00682EAF">
        <w:rPr>
          <w:rFonts w:cs="Arial"/>
        </w:rPr>
        <w:t>O baixo desempenho em jogos de simulação empresarial geralmente é associado à sorte ao invés de habilidades. Apesar de o fator sorte apresentar um impacto em qualquer competição,</w:t>
      </w:r>
      <w:r w:rsidR="00CF3782">
        <w:rPr>
          <w:rFonts w:cs="Arial"/>
        </w:rPr>
        <w:t xml:space="preserve"> </w:t>
      </w:r>
      <w:r w:rsidR="00CF3782">
        <w:rPr>
          <w:rFonts w:cs="Arial"/>
        </w:rPr>
        <w:lastRenderedPageBreak/>
        <w:t>os jogos empresariais se tornam</w:t>
      </w:r>
      <w:r w:rsidR="00681106" w:rsidRPr="00682EAF">
        <w:rPr>
          <w:rFonts w:cs="Arial"/>
        </w:rPr>
        <w:t xml:space="preserve"> uma experiência educacional significativa, apenas se as habilidades dos participantes forem o fator m</w:t>
      </w:r>
      <w:r w:rsidR="000B2186">
        <w:rPr>
          <w:rFonts w:cs="Arial"/>
        </w:rPr>
        <w:t>a</w:t>
      </w:r>
      <w:r w:rsidR="00681106" w:rsidRPr="00682EAF">
        <w:rPr>
          <w:rFonts w:cs="Arial"/>
        </w:rPr>
        <w:t>is importante para explicar s</w:t>
      </w:r>
      <w:r w:rsidR="00CF3782">
        <w:rPr>
          <w:rFonts w:cs="Arial"/>
        </w:rPr>
        <w:t>eus bons desempenhos</w:t>
      </w:r>
      <w:r w:rsidR="00FA2284" w:rsidRPr="00682EAF">
        <w:rPr>
          <w:rFonts w:cs="Arial"/>
        </w:rPr>
        <w:t xml:space="preserve"> (WELLINGTON; FARIA; WH</w:t>
      </w:r>
      <w:r w:rsidR="007F5447" w:rsidRPr="00682EAF">
        <w:rPr>
          <w:rFonts w:cs="Arial"/>
        </w:rPr>
        <w:t>I</w:t>
      </w:r>
      <w:r w:rsidR="00FA2284" w:rsidRPr="00682EAF">
        <w:rPr>
          <w:rFonts w:cs="Arial"/>
        </w:rPr>
        <w:t>TELEY, 1997).</w:t>
      </w:r>
      <w:r w:rsidRPr="00682EAF">
        <w:rPr>
          <w:rFonts w:cs="Arial"/>
        </w:rPr>
        <w:t xml:space="preserve">  </w:t>
      </w:r>
    </w:p>
    <w:p w14:paraId="00A6CF2B" w14:textId="77777777" w:rsidR="00372E7F" w:rsidRDefault="00372E7F" w:rsidP="00372E7F">
      <w:pPr>
        <w:ind w:firstLine="0"/>
        <w:rPr>
          <w:rFonts w:cs="Arial"/>
        </w:rPr>
      </w:pPr>
    </w:p>
    <w:p w14:paraId="1A66430B" w14:textId="77777777" w:rsidR="00372E7F" w:rsidRDefault="00372E7F" w:rsidP="007140FD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Modelo de Mapeamento de Competências</w:t>
      </w:r>
    </w:p>
    <w:p w14:paraId="6026CD18" w14:textId="38907313" w:rsidR="00C927BA" w:rsidRDefault="00280B32" w:rsidP="00CF3782">
      <w:pPr>
        <w:rPr>
          <w:rFonts w:cs="Arial"/>
        </w:rPr>
      </w:pPr>
      <w:r>
        <w:rPr>
          <w:rFonts w:cs="Arial"/>
        </w:rPr>
        <w:t>I</w:t>
      </w:r>
      <w:r w:rsidR="003F2945">
        <w:rPr>
          <w:rFonts w:cs="Arial"/>
        </w:rPr>
        <w:t>números</w:t>
      </w:r>
      <w:r w:rsidR="00AC25A5">
        <w:rPr>
          <w:rFonts w:cs="Arial"/>
        </w:rPr>
        <w:t xml:space="preserve"> são os fatores capazes de explicar o bom desempenho de um participante nos jogos de simulação empresarial</w:t>
      </w:r>
      <w:r w:rsidR="00CF3782">
        <w:rPr>
          <w:rFonts w:cs="Arial"/>
        </w:rPr>
        <w:t xml:space="preserve"> </w:t>
      </w:r>
      <w:r w:rsidR="00CF3782" w:rsidRPr="00682EAF">
        <w:rPr>
          <w:rFonts w:cs="Arial"/>
        </w:rPr>
        <w:t xml:space="preserve">(WELLINGTON; FARIA; WHITELEY, 1997).  </w:t>
      </w:r>
      <w:r w:rsidR="00CF3782">
        <w:rPr>
          <w:rFonts w:cs="Arial"/>
        </w:rPr>
        <w:t xml:space="preserve">Entretanto, tão importante quanto compreender os fatores de sucesso, é compreender os elementos que devem ser focalizados durante o </w:t>
      </w:r>
      <w:r w:rsidR="00C927BA">
        <w:rPr>
          <w:rFonts w:cs="Arial"/>
        </w:rPr>
        <w:t>processo de aprendizado, a fim de proporcionar experiências que tenham por objetivo desenvolver um bom desempenho gerencial.</w:t>
      </w:r>
    </w:p>
    <w:p w14:paraId="4B96FDBA" w14:textId="77777777" w:rsidR="00D72117" w:rsidRDefault="00EB4587" w:rsidP="00CF3782">
      <w:pPr>
        <w:rPr>
          <w:rFonts w:cs="Arial"/>
        </w:rPr>
      </w:pPr>
      <w:r>
        <w:rPr>
          <w:rFonts w:cs="Arial"/>
        </w:rPr>
        <w:t xml:space="preserve">O termo competência busca qualificar uma pessoa apta a realizar </w:t>
      </w:r>
      <w:r w:rsidR="002C7EE2">
        <w:rPr>
          <w:rFonts w:cs="Arial"/>
        </w:rPr>
        <w:t>suas atividades com destreza, no</w:t>
      </w:r>
      <w:r w:rsidR="00FD6278">
        <w:rPr>
          <w:rFonts w:cs="Arial"/>
        </w:rPr>
        <w:t xml:space="preserve"> momento atual</w:t>
      </w:r>
      <w:r w:rsidR="002C7EE2">
        <w:rPr>
          <w:rFonts w:cs="Arial"/>
        </w:rPr>
        <w:t>, possuindo os conhecimentos, habilidades e atitudes para tal (AMARAL, 2006).</w:t>
      </w:r>
    </w:p>
    <w:p w14:paraId="7A90AF38" w14:textId="189B6B82" w:rsidR="002C7EE2" w:rsidRDefault="002C7EE2" w:rsidP="002C7EE2">
      <w:pPr>
        <w:rPr>
          <w:rFonts w:cs="Arial"/>
        </w:rPr>
      </w:pPr>
      <w:r>
        <w:rPr>
          <w:rFonts w:cs="Arial"/>
        </w:rPr>
        <w:t>A definição evidencia que não se pode intitular um indiv</w:t>
      </w:r>
      <w:r w:rsidR="00280B32">
        <w:rPr>
          <w:rFonts w:cs="Arial"/>
        </w:rPr>
        <w:t>í</w:t>
      </w:r>
      <w:r>
        <w:rPr>
          <w:rFonts w:cs="Arial"/>
        </w:rPr>
        <w:t xml:space="preserve">duo como competente ou incompetente, já que estes são “estados” e não situações imutáveis, ou seja, todos os profissionais podem alterar seus estados e seguir um processo de aperfeiçoamento contínuo </w:t>
      </w:r>
      <w:r w:rsidRPr="002C7EE2">
        <w:rPr>
          <w:rFonts w:cs="Arial"/>
        </w:rPr>
        <w:t>(FLEURY; FLEURY, 2002).</w:t>
      </w:r>
    </w:p>
    <w:p w14:paraId="1B9EF1B4" w14:textId="1DF83689" w:rsidR="00EB4587" w:rsidRDefault="00D72117" w:rsidP="00EB4587">
      <w:r>
        <w:rPr>
          <w:rFonts w:cs="Arial"/>
        </w:rPr>
        <w:t>Amaral (2006) propõe uma Base de Referência</w:t>
      </w:r>
      <w:r w:rsidR="00AA258A">
        <w:rPr>
          <w:rFonts w:cs="Arial"/>
        </w:rPr>
        <w:t xml:space="preserve"> </w:t>
      </w:r>
      <w:r>
        <w:rPr>
          <w:rFonts w:cs="Arial"/>
        </w:rPr>
        <w:t>constituíd</w:t>
      </w:r>
      <w:r w:rsidR="00AA258A">
        <w:rPr>
          <w:rFonts w:cs="Arial"/>
        </w:rPr>
        <w:t xml:space="preserve">a de </w:t>
      </w:r>
      <w:r>
        <w:rPr>
          <w:rFonts w:cs="Arial"/>
        </w:rPr>
        <w:t xml:space="preserve">seis competências: relacionamento interpessoal, capacidade analítica, coleta de informações, comunicação, trabalho em equipe, </w:t>
      </w:r>
      <w:r w:rsidRPr="00D72117">
        <w:rPr>
          <w:rFonts w:cs="Arial"/>
        </w:rPr>
        <w:t>organização e</w:t>
      </w:r>
      <w:r w:rsidR="002C7EE2">
        <w:rPr>
          <w:rFonts w:cs="Arial"/>
        </w:rPr>
        <w:t xml:space="preserve"> gerenciamento de processos</w:t>
      </w:r>
      <w:r w:rsidR="00A43759">
        <w:rPr>
          <w:rFonts w:cs="Arial"/>
        </w:rPr>
        <w:t xml:space="preserve">. </w:t>
      </w:r>
      <w:r>
        <w:t>Cada uma de</w:t>
      </w:r>
      <w:r w:rsidR="00EB49AE">
        <w:t>l</w:t>
      </w:r>
      <w:r>
        <w:t xml:space="preserve">as é formada por uma série de atributos que envolvem </w:t>
      </w:r>
      <w:r w:rsidR="00EB4587">
        <w:t>três dimensões: o “saber” (conhecimentos), o “saber fazer” (habilidades) e o “saber ser” (atitudes) (AMARAL et al., 2008).</w:t>
      </w:r>
    </w:p>
    <w:p w14:paraId="3BAB51B2" w14:textId="71C4B4A4" w:rsidR="00A43759" w:rsidRDefault="00A43759" w:rsidP="00EB4587">
      <w:r>
        <w:t>A partir de um Glossário de Atributos de Competência de Inteligência Competitiva, elaborado pelo autor, torna-se possível a compreensão de cada um dos elementos e o mapeamento dos atributos por parte dos indivíduos.</w:t>
      </w:r>
    </w:p>
    <w:p w14:paraId="2252ECEB" w14:textId="6257B83A" w:rsidR="00BD5CFF" w:rsidRDefault="00BD5CFF" w:rsidP="00EB4587"/>
    <w:p w14:paraId="5A438680" w14:textId="6B8BB8E2" w:rsidR="00BD5CFF" w:rsidRDefault="00BD5CFF" w:rsidP="00EB4587"/>
    <w:p w14:paraId="6A40B4E1" w14:textId="4F680277" w:rsidR="00BD5CFF" w:rsidRDefault="00BD5CFF" w:rsidP="00EB4587"/>
    <w:p w14:paraId="64336A31" w14:textId="237DC746" w:rsidR="00BD5CFF" w:rsidRDefault="00BD5CFF" w:rsidP="00EB4587"/>
    <w:p w14:paraId="2B528A5E" w14:textId="18930BFF" w:rsidR="00BD5CFF" w:rsidRDefault="00BD5CFF" w:rsidP="00EB4587"/>
    <w:p w14:paraId="5C3FF2ED" w14:textId="1C575E45" w:rsidR="00BD5CFF" w:rsidRDefault="00BD5CFF" w:rsidP="00EB4587"/>
    <w:p w14:paraId="5EC82D52" w14:textId="407F7BBB" w:rsidR="00BD5CFF" w:rsidRDefault="00BD5CFF" w:rsidP="00EB4587"/>
    <w:p w14:paraId="75BA7FB6" w14:textId="77777777" w:rsidR="00BD5CFF" w:rsidRDefault="00BD5CFF" w:rsidP="00EB4587"/>
    <w:p w14:paraId="3669E232" w14:textId="77777777" w:rsidR="0027499B" w:rsidRPr="0027499B" w:rsidRDefault="0027499B" w:rsidP="006D36A1">
      <w:pPr>
        <w:spacing w:before="120" w:line="240" w:lineRule="auto"/>
        <w:ind w:firstLine="0"/>
        <w:rPr>
          <w:rFonts w:cs="Arial"/>
          <w:sz w:val="20"/>
        </w:rPr>
      </w:pPr>
      <w:r w:rsidRPr="0027499B">
        <w:rPr>
          <w:rFonts w:cs="Arial"/>
          <w:sz w:val="20"/>
        </w:rPr>
        <w:lastRenderedPageBreak/>
        <w:t>QUADRO 1</w:t>
      </w:r>
      <w:r w:rsidR="00D91E10">
        <w:rPr>
          <w:rFonts w:cs="Arial"/>
          <w:sz w:val="20"/>
        </w:rPr>
        <w:t>: Elementos da Competência Capacidade Analítica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5"/>
        <w:gridCol w:w="5096"/>
        <w:gridCol w:w="1844"/>
      </w:tblGrid>
      <w:tr w:rsidR="00154925" w:rsidRPr="001B66A6" w14:paraId="7B4AABD9" w14:textId="77777777" w:rsidTr="003F2945">
        <w:tc>
          <w:tcPr>
            <w:tcW w:w="2122" w:type="dxa"/>
            <w:shd w:val="clear" w:color="auto" w:fill="000000" w:themeFill="text1"/>
          </w:tcPr>
          <w:p w14:paraId="17176B6A" w14:textId="77777777" w:rsidR="00154925" w:rsidRPr="001B66A6" w:rsidRDefault="00D91E10" w:rsidP="00D91E10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B66A6">
              <w:rPr>
                <w:rFonts w:cs="Arial"/>
                <w:b/>
                <w:sz w:val="20"/>
                <w:szCs w:val="20"/>
              </w:rPr>
              <w:t>Conhecimento</w:t>
            </w:r>
            <w:r w:rsidR="003F2945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5153" w:type="dxa"/>
            <w:shd w:val="clear" w:color="auto" w:fill="000000" w:themeFill="text1"/>
          </w:tcPr>
          <w:p w14:paraId="78806D6A" w14:textId="77777777" w:rsidR="00154925" w:rsidRPr="001B66A6" w:rsidRDefault="00D91E10" w:rsidP="00D91E10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B66A6">
              <w:rPr>
                <w:rFonts w:cs="Arial"/>
                <w:b/>
                <w:sz w:val="20"/>
                <w:szCs w:val="20"/>
              </w:rPr>
              <w:t>Habilidade</w:t>
            </w:r>
            <w:r w:rsidR="003F2945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1780" w:type="dxa"/>
            <w:shd w:val="clear" w:color="auto" w:fill="000000" w:themeFill="text1"/>
          </w:tcPr>
          <w:p w14:paraId="71F26647" w14:textId="77777777" w:rsidR="00154925" w:rsidRPr="001B66A6" w:rsidRDefault="00D91E10" w:rsidP="00D91E10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B66A6">
              <w:rPr>
                <w:rFonts w:cs="Arial"/>
                <w:b/>
                <w:sz w:val="20"/>
                <w:szCs w:val="20"/>
              </w:rPr>
              <w:t>Atitude</w:t>
            </w:r>
            <w:r w:rsidR="003F2945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154925" w:rsidRPr="001B66A6" w14:paraId="785E2CB7" w14:textId="77777777" w:rsidTr="003F2945">
        <w:tc>
          <w:tcPr>
            <w:tcW w:w="2122" w:type="dxa"/>
          </w:tcPr>
          <w:p w14:paraId="7AAF9FFC" w14:textId="77777777" w:rsidR="00D91E10" w:rsidRPr="001B66A6" w:rsidRDefault="00D91E10" w:rsidP="00441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08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Estratégia organizacional</w:t>
            </w:r>
          </w:p>
          <w:p w14:paraId="3E998600" w14:textId="77777777" w:rsidR="00D91E10" w:rsidRPr="001B66A6" w:rsidRDefault="00D91E10" w:rsidP="00441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08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Estrutura organizacional</w:t>
            </w:r>
          </w:p>
          <w:p w14:paraId="22B686CB" w14:textId="77777777" w:rsidR="00D91E10" w:rsidRPr="001B66A6" w:rsidRDefault="00D91E10" w:rsidP="00441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08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Metodologia científica</w:t>
            </w:r>
          </w:p>
          <w:p w14:paraId="4F5DD696" w14:textId="77777777" w:rsidR="00D91E10" w:rsidRPr="001B66A6" w:rsidRDefault="00D91E10" w:rsidP="00441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08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Métodos, técnicas e ferramentas de análise</w:t>
            </w:r>
          </w:p>
          <w:p w14:paraId="5DFE2536" w14:textId="77777777" w:rsidR="00D91E10" w:rsidRPr="001B66A6" w:rsidRDefault="00D91E10" w:rsidP="00441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08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Organização da informação</w:t>
            </w:r>
          </w:p>
          <w:p w14:paraId="79E677F5" w14:textId="77777777" w:rsidR="00D91E10" w:rsidRPr="001B66A6" w:rsidRDefault="00D91E10" w:rsidP="00441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08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Tecnologia da informação</w:t>
            </w:r>
          </w:p>
          <w:p w14:paraId="1994EF10" w14:textId="77777777" w:rsidR="00154925" w:rsidRPr="002C7EE2" w:rsidRDefault="00154925" w:rsidP="002C7E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color w:val="231F20"/>
                <w:sz w:val="20"/>
                <w:szCs w:val="20"/>
              </w:rPr>
            </w:pPr>
          </w:p>
        </w:tc>
        <w:tc>
          <w:tcPr>
            <w:tcW w:w="5153" w:type="dxa"/>
          </w:tcPr>
          <w:p w14:paraId="01A3F270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Aprender com as experiências</w:t>
            </w:r>
          </w:p>
          <w:p w14:paraId="099859F4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Apresentação de resultados</w:t>
            </w:r>
          </w:p>
          <w:p w14:paraId="34BFA003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Capacidade de síntese</w:t>
            </w:r>
          </w:p>
          <w:p w14:paraId="366A652D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Discernimento</w:t>
            </w:r>
          </w:p>
          <w:p w14:paraId="2AB83585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Extrair dados relevantes</w:t>
            </w:r>
          </w:p>
          <w:p w14:paraId="77E9FA17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Extrair implicações Estratégicas</w:t>
            </w:r>
          </w:p>
          <w:p w14:paraId="662C4F32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Gerar explicações consistentes dos fatos</w:t>
            </w:r>
          </w:p>
          <w:p w14:paraId="4CE72155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Identificar tendências, padrões e relacionamentos-chave em meio aos dados coletados</w:t>
            </w:r>
          </w:p>
          <w:p w14:paraId="59F6907F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Gerar recomendações de acordo com a análise</w:t>
            </w:r>
          </w:p>
          <w:p w14:paraId="63123113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Interpretação de dados</w:t>
            </w:r>
          </w:p>
          <w:p w14:paraId="4BF1970B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Intuição</w:t>
            </w:r>
          </w:p>
          <w:p w14:paraId="0E3C657A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Julgamento</w:t>
            </w:r>
          </w:p>
          <w:p w14:paraId="3E0DC30D" w14:textId="77777777" w:rsidR="00D91E10" w:rsidRPr="001B66A6" w:rsidRDefault="003F2945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>
              <w:rPr>
                <w:rFonts w:cs="Arial"/>
                <w:color w:val="231F20"/>
                <w:sz w:val="20"/>
                <w:szCs w:val="20"/>
              </w:rPr>
              <w:t>Lidar com ambigu</w:t>
            </w:r>
            <w:r w:rsidR="00D91E10" w:rsidRPr="001B66A6">
              <w:rPr>
                <w:rFonts w:cs="Arial"/>
                <w:color w:val="231F20"/>
                <w:sz w:val="20"/>
                <w:szCs w:val="20"/>
              </w:rPr>
              <w:t>idades, conflitos e dados incompletos</w:t>
            </w:r>
          </w:p>
          <w:p w14:paraId="3100995F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Organizar informações</w:t>
            </w:r>
          </w:p>
          <w:p w14:paraId="7F08AE92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Pensamento analítico</w:t>
            </w:r>
          </w:p>
          <w:p w14:paraId="0B1E07CF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Perspicácia</w:t>
            </w:r>
          </w:p>
          <w:p w14:paraId="1A1E51EA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Raciocínio estratégico</w:t>
            </w:r>
          </w:p>
          <w:p w14:paraId="18393CF3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Raciocínio lógico</w:t>
            </w:r>
          </w:p>
          <w:p w14:paraId="66E3FFEE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Resolução de problemas</w:t>
            </w:r>
          </w:p>
          <w:p w14:paraId="53DE3C81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Saber quando parar a análise</w:t>
            </w:r>
          </w:p>
          <w:p w14:paraId="0FC4020C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Trabalhar sob pressão</w:t>
            </w:r>
          </w:p>
          <w:p w14:paraId="6D8F5063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Trabalhar, sem frustração, com resultados intangíveis</w:t>
            </w:r>
          </w:p>
          <w:p w14:paraId="2E0BD17D" w14:textId="77777777" w:rsidR="00D91E10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Visão de futuro</w:t>
            </w:r>
          </w:p>
          <w:p w14:paraId="16707511" w14:textId="77777777" w:rsidR="00154925" w:rsidRPr="001B66A6" w:rsidRDefault="00D91E10" w:rsidP="00441D6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21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Visão global</w:t>
            </w:r>
          </w:p>
        </w:tc>
        <w:tc>
          <w:tcPr>
            <w:tcW w:w="1780" w:type="dxa"/>
          </w:tcPr>
          <w:p w14:paraId="7347B9AE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Agilidade</w:t>
            </w:r>
          </w:p>
          <w:p w14:paraId="21AB445F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Confiabilidade</w:t>
            </w:r>
          </w:p>
          <w:p w14:paraId="426AA33D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Estar constantemente atento às informações</w:t>
            </w:r>
          </w:p>
          <w:p w14:paraId="100533E1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Ética</w:t>
            </w:r>
          </w:p>
          <w:p w14:paraId="32A3F49D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Criatividade</w:t>
            </w:r>
          </w:p>
          <w:p w14:paraId="56EBF583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Curiosidade</w:t>
            </w:r>
          </w:p>
          <w:p w14:paraId="3536918F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Discrição</w:t>
            </w:r>
          </w:p>
          <w:p w14:paraId="097AF52B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Meticulosidade</w:t>
            </w:r>
          </w:p>
          <w:p w14:paraId="4D1C1A68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Observação</w:t>
            </w:r>
          </w:p>
          <w:p w14:paraId="4A2DF2EE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Organização</w:t>
            </w:r>
          </w:p>
          <w:p w14:paraId="5FCD648F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Percepção</w:t>
            </w:r>
          </w:p>
          <w:p w14:paraId="6597A274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Perfeccionismo</w:t>
            </w:r>
          </w:p>
          <w:p w14:paraId="05403A8C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Perseverança</w:t>
            </w:r>
          </w:p>
          <w:p w14:paraId="0C12D0BF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Proatividade</w:t>
            </w:r>
          </w:p>
          <w:p w14:paraId="48DEF897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Segurança</w:t>
            </w:r>
          </w:p>
          <w:p w14:paraId="2CF3A474" w14:textId="77777777" w:rsidR="00D91E10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Senso crítico</w:t>
            </w:r>
          </w:p>
          <w:p w14:paraId="19F8C9B0" w14:textId="77777777" w:rsidR="00154925" w:rsidRPr="001B66A6" w:rsidRDefault="00D91E10" w:rsidP="00441D6C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rFonts w:cs="Arial"/>
                <w:color w:val="231F20"/>
                <w:sz w:val="20"/>
                <w:szCs w:val="20"/>
              </w:rPr>
            </w:pPr>
            <w:r w:rsidRPr="001B66A6">
              <w:rPr>
                <w:rFonts w:cs="Arial"/>
                <w:color w:val="231F20"/>
                <w:sz w:val="20"/>
                <w:szCs w:val="20"/>
              </w:rPr>
              <w:t>Seriedade</w:t>
            </w:r>
          </w:p>
        </w:tc>
      </w:tr>
    </w:tbl>
    <w:p w14:paraId="4FE66922" w14:textId="77777777" w:rsidR="0027499B" w:rsidRPr="0027499B" w:rsidRDefault="0027499B" w:rsidP="006D36A1">
      <w:pPr>
        <w:spacing w:after="120"/>
        <w:ind w:firstLine="0"/>
        <w:rPr>
          <w:rFonts w:cs="Arial"/>
          <w:sz w:val="20"/>
        </w:rPr>
      </w:pPr>
      <w:r w:rsidRPr="0027499B">
        <w:rPr>
          <w:rFonts w:cs="Arial"/>
          <w:sz w:val="20"/>
        </w:rPr>
        <w:t>Fonte: elaborado pelos autores</w:t>
      </w:r>
      <w:r w:rsidR="00D91C15">
        <w:rPr>
          <w:rFonts w:cs="Arial"/>
          <w:sz w:val="20"/>
        </w:rPr>
        <w:t xml:space="preserve"> com base em Amaral et al. (2008).</w:t>
      </w:r>
    </w:p>
    <w:p w14:paraId="555C128B" w14:textId="77777777" w:rsidR="00A43759" w:rsidRPr="00C927BA" w:rsidRDefault="00C927BA" w:rsidP="00C927BA">
      <w:r>
        <w:t xml:space="preserve">Dentre as competências referenciais, os atributos que compõem a competência referencial capacidade analítica (Quadro 1) </w:t>
      </w:r>
      <w:r w:rsidRPr="00EB4587">
        <w:t xml:space="preserve">permitem aos profissionais avaliar e </w:t>
      </w:r>
      <w:r>
        <w:t>identificar os fatos relevantes</w:t>
      </w:r>
      <w:r w:rsidRPr="00EB4587">
        <w:t xml:space="preserve">, </w:t>
      </w:r>
      <w:r w:rsidRPr="00A43759">
        <w:rPr>
          <w:i/>
        </w:rPr>
        <w:t>insights</w:t>
      </w:r>
      <w:r w:rsidRPr="00EB4587">
        <w:t xml:space="preserve"> e relacionamentos-chave, para o </w:t>
      </w:r>
      <w:r>
        <w:t>estabelecimento de conclusões pertinentes à tomada de decisão</w:t>
      </w:r>
      <w:r w:rsidRPr="00EB4587">
        <w:t xml:space="preserve"> </w:t>
      </w:r>
      <w:r>
        <w:t xml:space="preserve">(AMARAL et al., 2008). </w:t>
      </w:r>
      <w:r w:rsidR="00A43759" w:rsidRPr="00EB4587">
        <w:t xml:space="preserve">Dessa forma, a compreensão e mapeamento destes atributos </w:t>
      </w:r>
      <w:r>
        <w:rPr>
          <w:rFonts w:eastAsiaTheme="minorHAnsi"/>
          <w:color w:val="231F20"/>
          <w:lang w:eastAsia="en-US"/>
        </w:rPr>
        <w:t>torna-se</w:t>
      </w:r>
      <w:r w:rsidR="00A43759" w:rsidRPr="00EB4587">
        <w:rPr>
          <w:rFonts w:eastAsiaTheme="minorHAnsi"/>
          <w:color w:val="231F20"/>
          <w:lang w:eastAsia="en-US"/>
        </w:rPr>
        <w:t xml:space="preserve"> útil para auxiliar</w:t>
      </w:r>
      <w:r w:rsidR="00A43759">
        <w:rPr>
          <w:rFonts w:eastAsiaTheme="minorHAnsi"/>
          <w:color w:val="231F20"/>
          <w:lang w:eastAsia="en-US"/>
        </w:rPr>
        <w:t xml:space="preserve"> os profissionais</w:t>
      </w:r>
      <w:r>
        <w:rPr>
          <w:rFonts w:eastAsiaTheme="minorHAnsi"/>
          <w:color w:val="231F20"/>
          <w:lang w:eastAsia="en-US"/>
        </w:rPr>
        <w:t xml:space="preserve"> e estudantes a aprimorarem o processo de tomada de decisão</w:t>
      </w:r>
    </w:p>
    <w:p w14:paraId="48404C7E" w14:textId="77777777" w:rsidR="0025155C" w:rsidRPr="00682EAF" w:rsidRDefault="0025155C" w:rsidP="005A2C31">
      <w:pPr>
        <w:ind w:firstLine="0"/>
        <w:rPr>
          <w:rFonts w:cs="Arial"/>
          <w:b/>
        </w:rPr>
      </w:pPr>
    </w:p>
    <w:p w14:paraId="65C34A20" w14:textId="7829665B" w:rsidR="0025155C" w:rsidRPr="00682EAF" w:rsidRDefault="0025155C" w:rsidP="007140FD">
      <w:pPr>
        <w:spacing w:after="120"/>
        <w:ind w:firstLine="0"/>
        <w:rPr>
          <w:rFonts w:cs="Arial"/>
          <w:b/>
        </w:rPr>
      </w:pPr>
      <w:r w:rsidRPr="00682EAF">
        <w:rPr>
          <w:rFonts w:cs="Arial"/>
          <w:b/>
        </w:rPr>
        <w:t>M</w:t>
      </w:r>
      <w:r w:rsidR="00B854B3">
        <w:rPr>
          <w:rFonts w:cs="Arial"/>
          <w:b/>
        </w:rPr>
        <w:t>É</w:t>
      </w:r>
      <w:r w:rsidRPr="00682EAF">
        <w:rPr>
          <w:rFonts w:cs="Arial"/>
          <w:b/>
        </w:rPr>
        <w:t>TODO</w:t>
      </w:r>
      <w:r w:rsidR="00B854B3">
        <w:rPr>
          <w:rFonts w:cs="Arial"/>
          <w:b/>
        </w:rPr>
        <w:t xml:space="preserve"> DE PESQUISA</w:t>
      </w:r>
    </w:p>
    <w:p w14:paraId="0FFF8AFD" w14:textId="77777777" w:rsidR="00EC5713" w:rsidRPr="00682EAF" w:rsidRDefault="00EC5713" w:rsidP="006D36A1">
      <w:pPr>
        <w:rPr>
          <w:rFonts w:cs="Arial"/>
        </w:rPr>
      </w:pPr>
      <w:r w:rsidRPr="00682EAF">
        <w:rPr>
          <w:rFonts w:cs="Arial"/>
        </w:rPr>
        <w:t>Este estudo caracteriza-se como uma pesquisa aplicada (SOL</w:t>
      </w:r>
      <w:r w:rsidR="00155AE3">
        <w:rPr>
          <w:rFonts w:cs="Arial"/>
        </w:rPr>
        <w:t>OMON, 1991) de caráter exploratório (GIL, 2002) e abordagens qualitativa e</w:t>
      </w:r>
      <w:r w:rsidRPr="00682EAF">
        <w:rPr>
          <w:rFonts w:cs="Arial"/>
        </w:rPr>
        <w:t xml:space="preserve"> quantitativa (MORAIS, 2005).</w:t>
      </w:r>
      <w:r w:rsidR="00155AE3">
        <w:rPr>
          <w:rFonts w:cs="Arial"/>
        </w:rPr>
        <w:t xml:space="preserve"> </w:t>
      </w:r>
      <w:r w:rsidR="006D36A1">
        <w:rPr>
          <w:rFonts w:cs="Arial"/>
        </w:rPr>
        <w:t xml:space="preserve">A pesquisa caracteriza-se como </w:t>
      </w:r>
      <w:r w:rsidR="00155AE3" w:rsidRPr="00155AE3">
        <w:rPr>
          <w:rFonts w:cs="Arial"/>
        </w:rPr>
        <w:t xml:space="preserve">quantitativa no que se refere ao tratamento dos dados obtidos </w:t>
      </w:r>
      <w:r w:rsidR="006D36A1">
        <w:rPr>
          <w:rFonts w:cs="Arial"/>
        </w:rPr>
        <w:t>a partir dos questionários preenchidos pelos jogadores no início e término do jogo, e qualitativa no que tange às opiniões expressas</w:t>
      </w:r>
      <w:r w:rsidR="00155AE3" w:rsidRPr="00155AE3">
        <w:rPr>
          <w:rFonts w:cs="Arial"/>
        </w:rPr>
        <w:t xml:space="preserve"> pelos jogadores</w:t>
      </w:r>
      <w:r w:rsidR="00C927BA">
        <w:rPr>
          <w:rFonts w:cs="Arial"/>
        </w:rPr>
        <w:t xml:space="preserve"> acerca de suas percepções sobre</w:t>
      </w:r>
      <w:r w:rsidR="00155AE3" w:rsidRPr="00155AE3">
        <w:rPr>
          <w:rFonts w:cs="Arial"/>
        </w:rPr>
        <w:t xml:space="preserve"> o uso do jogo.</w:t>
      </w:r>
    </w:p>
    <w:p w14:paraId="5983CBD3" w14:textId="77777777" w:rsidR="009B6FA4" w:rsidRPr="00682EAF" w:rsidRDefault="009B6FA4" w:rsidP="00F9386E">
      <w:pPr>
        <w:rPr>
          <w:rFonts w:cs="Arial"/>
        </w:rPr>
      </w:pPr>
      <w:r w:rsidRPr="00682EAF">
        <w:rPr>
          <w:rFonts w:cs="Arial"/>
        </w:rPr>
        <w:t>O</w:t>
      </w:r>
      <w:r w:rsidR="001F4706" w:rsidRPr="00682EAF">
        <w:rPr>
          <w:rFonts w:cs="Arial"/>
        </w:rPr>
        <w:t>s sujeitos deste estudo foram 33</w:t>
      </w:r>
      <w:r w:rsidRPr="00682EAF">
        <w:rPr>
          <w:rFonts w:cs="Arial"/>
        </w:rPr>
        <w:t xml:space="preserve"> alunos</w:t>
      </w:r>
      <w:r w:rsidR="001F4706" w:rsidRPr="00682EAF">
        <w:rPr>
          <w:rFonts w:cs="Arial"/>
        </w:rPr>
        <w:t>,</w:t>
      </w:r>
      <w:r w:rsidRPr="00682EAF">
        <w:rPr>
          <w:rFonts w:cs="Arial"/>
        </w:rPr>
        <w:t xml:space="preserve"> matriculados no segundo e terceiro ano do curso de Administração em uma instituição de ensino técnico situada no interior paulista. A partir da avaliação da grade horária do curso e das ementas das disciplinas, apurou-se que os jogos não eram utilizados no curso</w:t>
      </w:r>
      <w:r w:rsidR="00C927BA">
        <w:rPr>
          <w:rFonts w:cs="Arial"/>
        </w:rPr>
        <w:t>,</w:t>
      </w:r>
      <w:r w:rsidRPr="00682EAF">
        <w:rPr>
          <w:rFonts w:cs="Arial"/>
        </w:rPr>
        <w:t xml:space="preserve"> o que tornou a experiência inédita para os participantes.</w:t>
      </w:r>
    </w:p>
    <w:p w14:paraId="302F352B" w14:textId="2026AAA3" w:rsidR="00F9386E" w:rsidRDefault="009B6FA4" w:rsidP="00F9386E">
      <w:pPr>
        <w:rPr>
          <w:rFonts w:cs="Arial"/>
        </w:rPr>
      </w:pPr>
      <w:r w:rsidRPr="00682EAF">
        <w:rPr>
          <w:rFonts w:cs="Arial"/>
        </w:rPr>
        <w:lastRenderedPageBreak/>
        <w:t xml:space="preserve">A execução do estudo ocorreu em três etapas fundamentais: </w:t>
      </w:r>
      <w:r w:rsidR="00F9386E" w:rsidRPr="00682EAF">
        <w:rPr>
          <w:rFonts w:cs="Arial"/>
        </w:rPr>
        <w:t>ca</w:t>
      </w:r>
      <w:r w:rsidR="00C927BA">
        <w:rPr>
          <w:rFonts w:cs="Arial"/>
        </w:rPr>
        <w:t>racterização da amostra, aplicação do jogo</w:t>
      </w:r>
      <w:r w:rsidR="00F9386E" w:rsidRPr="00682EAF">
        <w:rPr>
          <w:rFonts w:cs="Arial"/>
        </w:rPr>
        <w:t xml:space="preserve"> e avaliação da experiência, descritas </w:t>
      </w:r>
      <w:r w:rsidR="00016B21">
        <w:rPr>
          <w:rFonts w:cs="Arial"/>
        </w:rPr>
        <w:t>e resum</w:t>
      </w:r>
      <w:r w:rsidR="0027499B">
        <w:rPr>
          <w:rFonts w:cs="Arial"/>
        </w:rPr>
        <w:t>idas no Quadro 2</w:t>
      </w:r>
      <w:r w:rsidR="00F9386E" w:rsidRPr="00682EAF">
        <w:rPr>
          <w:rFonts w:cs="Arial"/>
        </w:rPr>
        <w:t>.</w:t>
      </w:r>
      <w:r w:rsidR="00016B21">
        <w:rPr>
          <w:rFonts w:cs="Arial"/>
        </w:rPr>
        <w:t xml:space="preserve"> </w:t>
      </w:r>
    </w:p>
    <w:p w14:paraId="1E179275" w14:textId="77777777" w:rsidR="00154925" w:rsidRPr="0027499B" w:rsidRDefault="00154925" w:rsidP="006D36A1">
      <w:pPr>
        <w:spacing w:before="120" w:line="240" w:lineRule="auto"/>
        <w:ind w:firstLine="0"/>
        <w:rPr>
          <w:rFonts w:cs="Arial"/>
          <w:sz w:val="20"/>
        </w:rPr>
      </w:pPr>
      <w:r w:rsidRPr="0027499B">
        <w:rPr>
          <w:rFonts w:cs="Arial"/>
          <w:sz w:val="20"/>
        </w:rPr>
        <w:t>Q</w:t>
      </w:r>
      <w:r w:rsidR="0027499B" w:rsidRPr="0027499B">
        <w:rPr>
          <w:rFonts w:cs="Arial"/>
          <w:sz w:val="20"/>
        </w:rPr>
        <w:t>UADRO 2</w:t>
      </w:r>
      <w:r w:rsidRPr="0027499B">
        <w:rPr>
          <w:rFonts w:cs="Arial"/>
          <w:sz w:val="20"/>
        </w:rPr>
        <w:t xml:space="preserve">: Etapas do Estudo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8"/>
        <w:gridCol w:w="4548"/>
        <w:gridCol w:w="2539"/>
      </w:tblGrid>
      <w:tr w:rsidR="00D037F9" w:rsidRPr="00D037F9" w14:paraId="1714C28E" w14:textId="77777777" w:rsidTr="003F2945">
        <w:tc>
          <w:tcPr>
            <w:tcW w:w="1968" w:type="dxa"/>
            <w:shd w:val="clear" w:color="auto" w:fill="000000" w:themeFill="text1"/>
          </w:tcPr>
          <w:p w14:paraId="095A5232" w14:textId="77777777" w:rsidR="00D037F9" w:rsidRPr="00D037F9" w:rsidRDefault="00D037F9" w:rsidP="00D037F9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D037F9">
              <w:rPr>
                <w:rFonts w:cs="Arial"/>
                <w:b/>
                <w:sz w:val="20"/>
              </w:rPr>
              <w:t>Etapa</w:t>
            </w:r>
          </w:p>
        </w:tc>
        <w:tc>
          <w:tcPr>
            <w:tcW w:w="4548" w:type="dxa"/>
            <w:shd w:val="clear" w:color="auto" w:fill="000000" w:themeFill="text1"/>
          </w:tcPr>
          <w:p w14:paraId="69100AC6" w14:textId="77777777" w:rsidR="00D037F9" w:rsidRPr="00D037F9" w:rsidRDefault="00D037F9" w:rsidP="00D037F9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D037F9">
              <w:rPr>
                <w:rFonts w:cs="Arial"/>
                <w:b/>
                <w:sz w:val="20"/>
              </w:rPr>
              <w:t>Descrição</w:t>
            </w:r>
          </w:p>
        </w:tc>
        <w:tc>
          <w:tcPr>
            <w:tcW w:w="2539" w:type="dxa"/>
            <w:shd w:val="clear" w:color="auto" w:fill="000000" w:themeFill="text1"/>
          </w:tcPr>
          <w:p w14:paraId="277A3A21" w14:textId="77777777" w:rsidR="00D037F9" w:rsidRPr="00D037F9" w:rsidRDefault="00D037F9" w:rsidP="00D037F9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D037F9">
              <w:rPr>
                <w:rFonts w:cs="Arial"/>
                <w:b/>
                <w:sz w:val="20"/>
              </w:rPr>
              <w:t>Número de Participantes</w:t>
            </w:r>
          </w:p>
        </w:tc>
      </w:tr>
      <w:tr w:rsidR="00D72117" w:rsidRPr="00D037F9" w14:paraId="34E1A34B" w14:textId="77777777" w:rsidTr="003F2945">
        <w:tc>
          <w:tcPr>
            <w:tcW w:w="1968" w:type="dxa"/>
            <w:vMerge w:val="restart"/>
            <w:vAlign w:val="center"/>
          </w:tcPr>
          <w:p w14:paraId="12788EC4" w14:textId="77777777" w:rsidR="00D72117" w:rsidRPr="00D037F9" w:rsidRDefault="00D72117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Caracterização</w:t>
            </w:r>
            <w:r w:rsidR="00C927BA">
              <w:rPr>
                <w:rFonts w:cs="Arial"/>
                <w:sz w:val="20"/>
              </w:rPr>
              <w:t xml:space="preserve"> da Amostra</w:t>
            </w:r>
          </w:p>
        </w:tc>
        <w:tc>
          <w:tcPr>
            <w:tcW w:w="4548" w:type="dxa"/>
          </w:tcPr>
          <w:p w14:paraId="3609AC20" w14:textId="77777777" w:rsidR="00D72117" w:rsidRDefault="00D72117" w:rsidP="002F424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Questionário </w:t>
            </w:r>
          </w:p>
          <w:p w14:paraId="2C1D26EF" w14:textId="77777777" w:rsidR="00D72117" w:rsidRDefault="00D72117" w:rsidP="002F424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2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Nome</w:t>
            </w:r>
          </w:p>
          <w:p w14:paraId="756B7A75" w14:textId="77777777" w:rsidR="00D72117" w:rsidRDefault="00D72117" w:rsidP="002F424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2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</w:p>
          <w:p w14:paraId="3745E054" w14:textId="77777777" w:rsidR="00D72117" w:rsidRDefault="00D72117" w:rsidP="002F424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2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Idade</w:t>
            </w:r>
          </w:p>
          <w:p w14:paraId="0EBBB9E1" w14:textId="77777777" w:rsidR="00D72117" w:rsidRDefault="00D72117" w:rsidP="002F424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2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Formação</w:t>
            </w:r>
          </w:p>
          <w:p w14:paraId="52D6AB87" w14:textId="77777777" w:rsidR="00D72117" w:rsidRDefault="00D72117" w:rsidP="002F424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2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Ocupação</w:t>
            </w:r>
          </w:p>
          <w:p w14:paraId="107F3C21" w14:textId="77777777" w:rsidR="00D72117" w:rsidRPr="00154925" w:rsidRDefault="00D72117" w:rsidP="002F424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2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Período</w:t>
            </w:r>
          </w:p>
        </w:tc>
        <w:tc>
          <w:tcPr>
            <w:tcW w:w="2539" w:type="dxa"/>
            <w:vAlign w:val="center"/>
          </w:tcPr>
          <w:p w14:paraId="7C32688B" w14:textId="77777777" w:rsidR="00D72117" w:rsidRPr="00D037F9" w:rsidRDefault="00D72117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</w:tr>
      <w:tr w:rsidR="00D72117" w:rsidRPr="00D037F9" w14:paraId="15079A83" w14:textId="77777777" w:rsidTr="003F2945">
        <w:tc>
          <w:tcPr>
            <w:tcW w:w="1968" w:type="dxa"/>
            <w:vMerge/>
            <w:vAlign w:val="center"/>
          </w:tcPr>
          <w:p w14:paraId="4F424565" w14:textId="77777777" w:rsidR="00D72117" w:rsidRDefault="00D72117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4548" w:type="dxa"/>
          </w:tcPr>
          <w:p w14:paraId="3C6D02AB" w14:textId="77777777" w:rsidR="00D72117" w:rsidRDefault="00D72117" w:rsidP="002F424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Avalição das competências (Quadro 1)</w:t>
            </w:r>
          </w:p>
        </w:tc>
        <w:tc>
          <w:tcPr>
            <w:tcW w:w="2539" w:type="dxa"/>
            <w:vAlign w:val="center"/>
          </w:tcPr>
          <w:p w14:paraId="3D0C1ED5" w14:textId="77777777" w:rsidR="00D72117" w:rsidRDefault="00D72117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</w:tr>
      <w:tr w:rsidR="00154925" w:rsidRPr="00D037F9" w14:paraId="5E5F0421" w14:textId="77777777" w:rsidTr="003F2945">
        <w:tc>
          <w:tcPr>
            <w:tcW w:w="1968" w:type="dxa"/>
            <w:vMerge w:val="restart"/>
            <w:vAlign w:val="center"/>
          </w:tcPr>
          <w:p w14:paraId="5FBF51DB" w14:textId="77777777" w:rsidR="00154925" w:rsidRPr="00D037F9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Aplicação do Jogo</w:t>
            </w:r>
          </w:p>
        </w:tc>
        <w:tc>
          <w:tcPr>
            <w:tcW w:w="4548" w:type="dxa"/>
            <w:vAlign w:val="center"/>
          </w:tcPr>
          <w:p w14:paraId="49B41639" w14:textId="77777777" w:rsidR="00154925" w:rsidRPr="00154925" w:rsidRDefault="00154925" w:rsidP="002F4242">
            <w:pPr>
              <w:pStyle w:val="PargrafodaLista"/>
              <w:numPr>
                <w:ilvl w:val="0"/>
                <w:numId w:val="3"/>
              </w:numPr>
              <w:spacing w:line="240" w:lineRule="auto"/>
              <w:ind w:left="3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Cadastro no Jogo</w:t>
            </w:r>
          </w:p>
        </w:tc>
        <w:tc>
          <w:tcPr>
            <w:tcW w:w="2539" w:type="dxa"/>
            <w:vAlign w:val="center"/>
          </w:tcPr>
          <w:p w14:paraId="1CC5767B" w14:textId="77777777" w:rsidR="00154925" w:rsidRPr="00D037F9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</w:tr>
      <w:tr w:rsidR="00154925" w:rsidRPr="00D037F9" w14:paraId="35E64578" w14:textId="77777777" w:rsidTr="003F2945">
        <w:tc>
          <w:tcPr>
            <w:tcW w:w="1968" w:type="dxa"/>
            <w:vMerge/>
            <w:vAlign w:val="center"/>
          </w:tcPr>
          <w:p w14:paraId="7E2E4FB5" w14:textId="77777777" w:rsidR="00154925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4548" w:type="dxa"/>
            <w:vAlign w:val="center"/>
          </w:tcPr>
          <w:p w14:paraId="51B4DE45" w14:textId="77777777" w:rsidR="00154925" w:rsidRDefault="00154925" w:rsidP="002F4242">
            <w:pPr>
              <w:pStyle w:val="PargrafodaLista"/>
              <w:numPr>
                <w:ilvl w:val="0"/>
                <w:numId w:val="3"/>
              </w:numPr>
              <w:spacing w:line="240" w:lineRule="auto"/>
              <w:ind w:left="3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Primeira Jogada</w:t>
            </w:r>
          </w:p>
        </w:tc>
        <w:tc>
          <w:tcPr>
            <w:tcW w:w="2539" w:type="dxa"/>
            <w:vAlign w:val="center"/>
          </w:tcPr>
          <w:p w14:paraId="22BFDF4D" w14:textId="77777777" w:rsidR="00154925" w:rsidRPr="00D037F9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</w:tr>
      <w:tr w:rsidR="00154925" w:rsidRPr="00D037F9" w14:paraId="11358F4F" w14:textId="77777777" w:rsidTr="003F2945">
        <w:tc>
          <w:tcPr>
            <w:tcW w:w="1968" w:type="dxa"/>
            <w:vMerge/>
            <w:vAlign w:val="center"/>
          </w:tcPr>
          <w:p w14:paraId="5E03E4C8" w14:textId="77777777" w:rsidR="00154925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4548" w:type="dxa"/>
            <w:vAlign w:val="center"/>
          </w:tcPr>
          <w:p w14:paraId="566CC4D7" w14:textId="77777777" w:rsidR="00154925" w:rsidRDefault="00154925" w:rsidP="002F4242">
            <w:pPr>
              <w:pStyle w:val="PargrafodaLista"/>
              <w:numPr>
                <w:ilvl w:val="0"/>
                <w:numId w:val="3"/>
              </w:numPr>
              <w:spacing w:line="240" w:lineRule="auto"/>
              <w:ind w:left="3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Última Jogada</w:t>
            </w:r>
          </w:p>
        </w:tc>
        <w:tc>
          <w:tcPr>
            <w:tcW w:w="2539" w:type="dxa"/>
            <w:vAlign w:val="center"/>
          </w:tcPr>
          <w:p w14:paraId="25C8536F" w14:textId="77777777" w:rsidR="00154925" w:rsidRPr="00D037F9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</w:tr>
      <w:tr w:rsidR="00154925" w:rsidRPr="00D037F9" w14:paraId="4F857934" w14:textId="77777777" w:rsidTr="003F2945">
        <w:tc>
          <w:tcPr>
            <w:tcW w:w="1968" w:type="dxa"/>
            <w:vMerge w:val="restart"/>
            <w:vAlign w:val="center"/>
          </w:tcPr>
          <w:p w14:paraId="4EC79633" w14:textId="77777777" w:rsidR="00154925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Avaliação</w:t>
            </w:r>
            <w:r w:rsidR="00C927BA">
              <w:rPr>
                <w:rFonts w:cs="Arial"/>
                <w:sz w:val="20"/>
              </w:rPr>
              <w:t xml:space="preserve"> da Experiência</w:t>
            </w:r>
          </w:p>
        </w:tc>
        <w:tc>
          <w:tcPr>
            <w:tcW w:w="4548" w:type="dxa"/>
            <w:vAlign w:val="center"/>
          </w:tcPr>
          <w:p w14:paraId="59DA0DD3" w14:textId="77777777" w:rsidR="00154925" w:rsidRPr="00154925" w:rsidRDefault="00154925" w:rsidP="002F4242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Avalição das competências mais utilizadas no jogo</w:t>
            </w:r>
            <w:r w:rsidR="007C2713">
              <w:rPr>
                <w:rFonts w:cs="Arial"/>
                <w:sz w:val="20"/>
              </w:rPr>
              <w:t xml:space="preserve"> (Quadro 1)</w:t>
            </w:r>
          </w:p>
        </w:tc>
        <w:tc>
          <w:tcPr>
            <w:tcW w:w="2539" w:type="dxa"/>
            <w:vAlign w:val="center"/>
          </w:tcPr>
          <w:p w14:paraId="1D5135B1" w14:textId="77777777" w:rsidR="00154925" w:rsidRPr="00D037F9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</w:tr>
      <w:tr w:rsidR="00154925" w:rsidRPr="00D037F9" w14:paraId="19E1F16B" w14:textId="77777777" w:rsidTr="003F2945">
        <w:tc>
          <w:tcPr>
            <w:tcW w:w="1968" w:type="dxa"/>
            <w:vMerge/>
            <w:vAlign w:val="center"/>
          </w:tcPr>
          <w:p w14:paraId="4E8798AE" w14:textId="77777777" w:rsidR="00154925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4548" w:type="dxa"/>
            <w:vAlign w:val="center"/>
          </w:tcPr>
          <w:p w14:paraId="42F92E6B" w14:textId="77777777" w:rsidR="00154925" w:rsidRDefault="00154925" w:rsidP="002F4242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Avaliação do Jogo</w:t>
            </w:r>
          </w:p>
        </w:tc>
        <w:tc>
          <w:tcPr>
            <w:tcW w:w="2539" w:type="dxa"/>
            <w:vAlign w:val="center"/>
          </w:tcPr>
          <w:p w14:paraId="6C76853A" w14:textId="77777777" w:rsidR="00154925" w:rsidRDefault="00154925" w:rsidP="002F4242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</w:tr>
    </w:tbl>
    <w:p w14:paraId="0BF7465A" w14:textId="77777777" w:rsidR="002202B4" w:rsidRPr="006D36A1" w:rsidRDefault="00154925" w:rsidP="006D36A1">
      <w:pPr>
        <w:spacing w:after="120"/>
        <w:ind w:firstLine="0"/>
        <w:rPr>
          <w:rFonts w:cs="Arial"/>
          <w:sz w:val="20"/>
        </w:rPr>
      </w:pPr>
      <w:r w:rsidRPr="0027499B">
        <w:rPr>
          <w:rFonts w:cs="Arial"/>
          <w:sz w:val="20"/>
        </w:rPr>
        <w:t>Fonte: elaborado pelos autores.</w:t>
      </w:r>
    </w:p>
    <w:p w14:paraId="2852B22E" w14:textId="40B5E78E" w:rsidR="009B6FA4" w:rsidRPr="00682EAF" w:rsidRDefault="00F9386E" w:rsidP="00F9386E">
      <w:pPr>
        <w:rPr>
          <w:rFonts w:cs="Arial"/>
        </w:rPr>
      </w:pPr>
      <w:r w:rsidRPr="00682EAF">
        <w:rPr>
          <w:rFonts w:cs="Arial"/>
        </w:rPr>
        <w:t>P</w:t>
      </w:r>
      <w:r w:rsidR="009B6FA4" w:rsidRPr="00682EAF">
        <w:rPr>
          <w:rFonts w:cs="Arial"/>
        </w:rPr>
        <w:t>rimeiramente, os alunos responderam</w:t>
      </w:r>
      <w:r w:rsidR="00016B21">
        <w:rPr>
          <w:rFonts w:cs="Arial"/>
        </w:rPr>
        <w:t xml:space="preserve">, individualmente, </w:t>
      </w:r>
      <w:r w:rsidR="009B6FA4" w:rsidRPr="00682EAF">
        <w:rPr>
          <w:rFonts w:cs="Arial"/>
        </w:rPr>
        <w:t>um questionário</w:t>
      </w:r>
      <w:r w:rsidR="00601488">
        <w:rPr>
          <w:rFonts w:cs="Arial"/>
        </w:rPr>
        <w:t xml:space="preserve">, cujo objetivo era </w:t>
      </w:r>
      <w:r w:rsidR="009B6FA4" w:rsidRPr="00682EAF">
        <w:rPr>
          <w:rFonts w:cs="Arial"/>
        </w:rPr>
        <w:t>identifica</w:t>
      </w:r>
      <w:r w:rsidR="00601488">
        <w:rPr>
          <w:rFonts w:cs="Arial"/>
        </w:rPr>
        <w:t>r</w:t>
      </w:r>
      <w:r w:rsidR="009B6FA4" w:rsidRPr="00682EAF">
        <w:rPr>
          <w:rFonts w:cs="Arial"/>
        </w:rPr>
        <w:t xml:space="preserve"> </w:t>
      </w:r>
      <w:r w:rsidRPr="00682EAF">
        <w:rPr>
          <w:rFonts w:cs="Arial"/>
        </w:rPr>
        <w:t>e caracteriza</w:t>
      </w:r>
      <w:r w:rsidR="00601488">
        <w:rPr>
          <w:rFonts w:cs="Arial"/>
        </w:rPr>
        <w:t>r</w:t>
      </w:r>
      <w:r w:rsidRPr="00682EAF">
        <w:rPr>
          <w:rFonts w:cs="Arial"/>
        </w:rPr>
        <w:t xml:space="preserve"> a amostra (nome, e-mail, idade, formação, ocupação e período). </w:t>
      </w:r>
      <w:r w:rsidR="00E646DB">
        <w:rPr>
          <w:rFonts w:cs="Arial"/>
        </w:rPr>
        <w:t>Além disso, cada aluno</w:t>
      </w:r>
      <w:r w:rsidR="00C927BA">
        <w:rPr>
          <w:rFonts w:cs="Arial"/>
        </w:rPr>
        <w:t xml:space="preserve"> avaliou se os itens componentes das dimensões Conhecimentos, Habilidades e A</w:t>
      </w:r>
      <w:r w:rsidR="00E646DB">
        <w:rPr>
          <w:rFonts w:cs="Arial"/>
        </w:rPr>
        <w:t xml:space="preserve">titudes eram considerados </w:t>
      </w:r>
      <w:r w:rsidR="00A43759">
        <w:rPr>
          <w:rFonts w:cs="Arial"/>
        </w:rPr>
        <w:t xml:space="preserve">como </w:t>
      </w:r>
      <w:r w:rsidR="00E646DB">
        <w:rPr>
          <w:rFonts w:cs="Arial"/>
        </w:rPr>
        <w:t xml:space="preserve">um “Ponto </w:t>
      </w:r>
      <w:r w:rsidR="00601488">
        <w:rPr>
          <w:rFonts w:cs="Arial"/>
        </w:rPr>
        <w:t>Forte</w:t>
      </w:r>
      <w:r w:rsidR="00E646DB">
        <w:rPr>
          <w:rFonts w:cs="Arial"/>
        </w:rPr>
        <w:t xml:space="preserve">” ou um “Ponto de Melhoria”. </w:t>
      </w:r>
      <w:r w:rsidR="001F4706" w:rsidRPr="00682EAF">
        <w:rPr>
          <w:rFonts w:cs="Arial"/>
        </w:rPr>
        <w:t>Neste momento, foram recolhidas 33 respost</w:t>
      </w:r>
      <w:r w:rsidR="006D36A1">
        <w:rPr>
          <w:rFonts w:cs="Arial"/>
        </w:rPr>
        <w:t>as de todos os alunos presentes</w:t>
      </w:r>
      <w:r w:rsidR="00C927BA">
        <w:rPr>
          <w:rFonts w:cs="Arial"/>
        </w:rPr>
        <w:t>.</w:t>
      </w:r>
    </w:p>
    <w:p w14:paraId="078A4D21" w14:textId="77777777" w:rsidR="00016B21" w:rsidRDefault="005E7B2A" w:rsidP="00016B21">
      <w:pPr>
        <w:rPr>
          <w:rFonts w:cs="Arial"/>
        </w:rPr>
      </w:pPr>
      <w:r w:rsidRPr="00682EAF">
        <w:rPr>
          <w:rFonts w:cs="Arial"/>
        </w:rPr>
        <w:t xml:space="preserve">Na etapa subsequente, os alunos fizeram seus cadastros </w:t>
      </w:r>
      <w:r w:rsidR="00F12DF4" w:rsidRPr="00682EAF">
        <w:rPr>
          <w:rFonts w:cs="Arial"/>
        </w:rPr>
        <w:t>no site bomburguer.net e</w:t>
      </w:r>
      <w:r w:rsidR="00016B21">
        <w:rPr>
          <w:rFonts w:cs="Arial"/>
        </w:rPr>
        <w:t xml:space="preserve"> criaram uma empresa fictícia individual. </w:t>
      </w:r>
      <w:r w:rsidR="00016B21" w:rsidRPr="00682EAF">
        <w:rPr>
          <w:rFonts w:cs="Arial"/>
        </w:rPr>
        <w:t>O jogo Bomburguer é um simulador de</w:t>
      </w:r>
      <w:r w:rsidR="00016B21">
        <w:rPr>
          <w:rFonts w:cs="Arial"/>
        </w:rPr>
        <w:t xml:space="preserve"> um carrinho de</w:t>
      </w:r>
      <w:r w:rsidR="00016B21" w:rsidRPr="00682EAF">
        <w:rPr>
          <w:rFonts w:cs="Arial"/>
        </w:rPr>
        <w:t xml:space="preserve"> venda de sanduích</w:t>
      </w:r>
      <w:r w:rsidR="00016B21">
        <w:rPr>
          <w:rFonts w:cs="Arial"/>
        </w:rPr>
        <w:t>es no qual os alunos devem tomar</w:t>
      </w:r>
      <w:r w:rsidR="00016B21" w:rsidRPr="00682EAF">
        <w:rPr>
          <w:rFonts w:cs="Arial"/>
        </w:rPr>
        <w:t xml:space="preserve"> decisões em relação à compra de insumos (pão, hambúrguer, alface, tomate, queijo e refrigerante), ao investimento em propaganda (rádio, panfletos, jornal e televis</w:t>
      </w:r>
      <w:r w:rsidR="00016B21">
        <w:rPr>
          <w:rFonts w:cs="Arial"/>
        </w:rPr>
        <w:t>ão) e à quantidade e</w:t>
      </w:r>
      <w:r w:rsidR="00016B21" w:rsidRPr="00682EAF">
        <w:rPr>
          <w:rFonts w:cs="Arial"/>
        </w:rPr>
        <w:t xml:space="preserve"> preço de venda.</w:t>
      </w:r>
      <w:r w:rsidR="00016B21">
        <w:rPr>
          <w:rFonts w:cs="Arial"/>
        </w:rPr>
        <w:t xml:space="preserve"> Entretanto, como o produto vendido não tem diferenciação, as únicas variáveis passíveis de aumentar a participação de mercado de cada aluno são o preço e a propaganda.</w:t>
      </w:r>
    </w:p>
    <w:p w14:paraId="5FBDAA3A" w14:textId="77777777" w:rsidR="002202B4" w:rsidRDefault="00016B21" w:rsidP="005E7B2A">
      <w:pPr>
        <w:rPr>
          <w:rFonts w:cs="Arial"/>
        </w:rPr>
      </w:pPr>
      <w:r>
        <w:rPr>
          <w:rFonts w:cs="Arial"/>
        </w:rPr>
        <w:t xml:space="preserve">Após a criação do carrinho de lanches, os discentes receberam uma </w:t>
      </w:r>
      <w:r w:rsidR="005E7B2A" w:rsidRPr="00682EAF">
        <w:rPr>
          <w:rFonts w:cs="Arial"/>
        </w:rPr>
        <w:t>explicação sucinta sobre a ferramenta e o processo de tomada de decisão.</w:t>
      </w:r>
      <w:r w:rsidR="002202B4">
        <w:rPr>
          <w:rFonts w:cs="Arial"/>
        </w:rPr>
        <w:t xml:space="preserve"> O objetivo da apresentação deste número reduzido de informaç</w:t>
      </w:r>
      <w:r w:rsidR="001B66A6">
        <w:rPr>
          <w:rFonts w:cs="Arial"/>
        </w:rPr>
        <w:t xml:space="preserve">ões acerca </w:t>
      </w:r>
      <w:r w:rsidR="002202B4">
        <w:rPr>
          <w:rFonts w:cs="Arial"/>
        </w:rPr>
        <w:t>do jogo foi criar nos alunos o i</w:t>
      </w:r>
      <w:r w:rsidR="001B66A6">
        <w:rPr>
          <w:rFonts w:cs="Arial"/>
        </w:rPr>
        <w:t>nteresse de buscar os dados necessário</w:t>
      </w:r>
      <w:r w:rsidR="002202B4">
        <w:rPr>
          <w:rFonts w:cs="Arial"/>
        </w:rPr>
        <w:t>s para a tomada de decisão</w:t>
      </w:r>
      <w:r w:rsidR="002202B4" w:rsidRPr="002202B4">
        <w:rPr>
          <w:rFonts w:cs="Arial"/>
        </w:rPr>
        <w:t xml:space="preserve"> e, assim, aguçar </w:t>
      </w:r>
      <w:r w:rsidR="001B66A6">
        <w:rPr>
          <w:rFonts w:cs="Arial"/>
        </w:rPr>
        <w:t>a curiosidade quanto à</w:t>
      </w:r>
      <w:r w:rsidR="002202B4" w:rsidRPr="002202B4">
        <w:rPr>
          <w:rFonts w:cs="Arial"/>
        </w:rPr>
        <w:t xml:space="preserve"> gestão de uma empresa.</w:t>
      </w:r>
      <w:r w:rsidR="005E7B2A" w:rsidRPr="00682EAF">
        <w:rPr>
          <w:rFonts w:cs="Arial"/>
        </w:rPr>
        <w:t xml:space="preserve"> </w:t>
      </w:r>
    </w:p>
    <w:p w14:paraId="0A38589A" w14:textId="77777777" w:rsidR="005E7B2A" w:rsidRPr="00682EAF" w:rsidRDefault="00016B21" w:rsidP="005E7B2A">
      <w:pPr>
        <w:rPr>
          <w:rFonts w:cs="Arial"/>
        </w:rPr>
      </w:pPr>
      <w:r>
        <w:rPr>
          <w:rFonts w:cs="Arial"/>
        </w:rPr>
        <w:t>Em seguida, os alunos realizaram a primeira jogada individual, na qual deveriam definir a quantidade de lanches a ser disponibilizada no mercado, a quantidade de insumos comprada, os valores investidos nos diferentes tipos de propaganda e o preço de venda</w:t>
      </w:r>
      <w:r w:rsidR="00AE1AF9">
        <w:rPr>
          <w:rFonts w:cs="Arial"/>
        </w:rPr>
        <w:t xml:space="preserve"> dos sanduíches. </w:t>
      </w:r>
      <w:r w:rsidR="005E7B2A" w:rsidRPr="00682EAF">
        <w:rPr>
          <w:rFonts w:cs="Arial"/>
        </w:rPr>
        <w:t xml:space="preserve">Considerando que a primeira jogada foi realizada na primeira aula, todos os 33 alunos tomaram </w:t>
      </w:r>
      <w:r w:rsidR="005E7B2A" w:rsidRPr="00682EAF">
        <w:rPr>
          <w:rFonts w:cs="Arial"/>
        </w:rPr>
        <w:lastRenderedPageBreak/>
        <w:t>suas decis</w:t>
      </w:r>
      <w:r w:rsidR="00F12DF4" w:rsidRPr="00682EAF">
        <w:rPr>
          <w:rFonts w:cs="Arial"/>
        </w:rPr>
        <w:t>ões, entretanto, com o</w:t>
      </w:r>
      <w:r w:rsidR="005E7B2A" w:rsidRPr="00682EAF">
        <w:rPr>
          <w:rFonts w:cs="Arial"/>
        </w:rPr>
        <w:t xml:space="preserve"> passar das 7 rodadas, apenas 13 alunos concluíram todas as jogadas e esse foi o número considerado para a análise final.</w:t>
      </w:r>
    </w:p>
    <w:p w14:paraId="2EABC425" w14:textId="1AB22695" w:rsidR="00D037F9" w:rsidRDefault="005E7B2A" w:rsidP="00F12DF4">
      <w:pPr>
        <w:rPr>
          <w:rFonts w:cs="Arial"/>
        </w:rPr>
      </w:pPr>
      <w:r w:rsidRPr="00682EAF">
        <w:rPr>
          <w:rFonts w:cs="Arial"/>
        </w:rPr>
        <w:t>Na última etapa, os alunos responderam novamente ao questionário do</w:t>
      </w:r>
      <w:r w:rsidR="001B0216">
        <w:rPr>
          <w:rFonts w:cs="Arial"/>
        </w:rPr>
        <w:t xml:space="preserve"> mapeamento de c</w:t>
      </w:r>
      <w:r w:rsidRPr="00682EAF">
        <w:rPr>
          <w:rFonts w:cs="Arial"/>
        </w:rPr>
        <w:t>ompetências (AMARAL et al., 2</w:t>
      </w:r>
      <w:r w:rsidR="00AE1AF9">
        <w:rPr>
          <w:rFonts w:cs="Arial"/>
        </w:rPr>
        <w:t>008)</w:t>
      </w:r>
      <w:r w:rsidR="00280B32">
        <w:rPr>
          <w:rFonts w:cs="Arial"/>
        </w:rPr>
        <w:t>.</w:t>
      </w:r>
      <w:r w:rsidR="006C1DC7">
        <w:rPr>
          <w:rFonts w:cs="Arial"/>
        </w:rPr>
        <w:t xml:space="preserve"> </w:t>
      </w:r>
      <w:r w:rsidR="00280B32">
        <w:rPr>
          <w:rFonts w:cs="Arial"/>
        </w:rPr>
        <w:t>N</w:t>
      </w:r>
      <w:r w:rsidR="001B0216">
        <w:rPr>
          <w:rFonts w:cs="Arial"/>
        </w:rPr>
        <w:t>ess</w:t>
      </w:r>
      <w:r w:rsidR="00AE1AF9">
        <w:rPr>
          <w:rFonts w:cs="Arial"/>
        </w:rPr>
        <w:t xml:space="preserve">e momento </w:t>
      </w:r>
      <w:r w:rsidRPr="00682EAF">
        <w:rPr>
          <w:rFonts w:cs="Arial"/>
        </w:rPr>
        <w:t xml:space="preserve">as questões buscaram </w:t>
      </w:r>
      <w:r w:rsidR="00AE1AF9">
        <w:rPr>
          <w:rFonts w:cs="Arial"/>
        </w:rPr>
        <w:t>compreender</w:t>
      </w:r>
      <w:r w:rsidRPr="00682EAF">
        <w:rPr>
          <w:rFonts w:cs="Arial"/>
        </w:rPr>
        <w:t xml:space="preserve"> o q</w:t>
      </w:r>
      <w:r w:rsidR="003C35B7" w:rsidRPr="00682EAF">
        <w:rPr>
          <w:rFonts w:cs="Arial"/>
        </w:rPr>
        <w:t>uanto cada um dos aspectos foi</w:t>
      </w:r>
      <w:r w:rsidRPr="00682EAF">
        <w:rPr>
          <w:rFonts w:cs="Arial"/>
        </w:rPr>
        <w:t xml:space="preserve"> importante para o processo de tomada de decis</w:t>
      </w:r>
      <w:r w:rsidR="003C35B7" w:rsidRPr="00682EAF">
        <w:rPr>
          <w:rFonts w:cs="Arial"/>
        </w:rPr>
        <w:t xml:space="preserve">ão. Em </w:t>
      </w:r>
      <w:r w:rsidR="00287521" w:rsidRPr="00682EAF">
        <w:rPr>
          <w:rFonts w:cs="Arial"/>
        </w:rPr>
        <w:t>uma escala de 0 a 10, sendo zero a opção “Não Influenciou”</w:t>
      </w:r>
      <w:r w:rsidR="00F12DF4" w:rsidRPr="00682EAF">
        <w:rPr>
          <w:rFonts w:cs="Arial"/>
        </w:rPr>
        <w:t xml:space="preserve"> e</w:t>
      </w:r>
      <w:r w:rsidR="00287521" w:rsidRPr="00682EAF">
        <w:rPr>
          <w:rFonts w:cs="Arial"/>
        </w:rPr>
        <w:t xml:space="preserve"> dez a opção “</w:t>
      </w:r>
      <w:r w:rsidR="00F12DF4" w:rsidRPr="00682EAF">
        <w:rPr>
          <w:rFonts w:cs="Arial"/>
        </w:rPr>
        <w:t>Extrem</w:t>
      </w:r>
      <w:r w:rsidR="00287521" w:rsidRPr="00682EAF">
        <w:rPr>
          <w:rFonts w:cs="Arial"/>
        </w:rPr>
        <w:t xml:space="preserve">amente Importante”, os alunos pontuaram a </w:t>
      </w:r>
      <w:r w:rsidR="001B0216">
        <w:rPr>
          <w:rFonts w:cs="Arial"/>
        </w:rPr>
        <w:t>relevância</w:t>
      </w:r>
      <w:r w:rsidR="00287521" w:rsidRPr="00682EAF">
        <w:rPr>
          <w:rFonts w:cs="Arial"/>
        </w:rPr>
        <w:t xml:space="preserve"> de cada um dos itens para o processo de tomada de decisão. Além disso, fizeram uma avaliação sobre suas respectivas experiências com jogo</w:t>
      </w:r>
      <w:r w:rsidR="00F12DF4" w:rsidRPr="00682EAF">
        <w:rPr>
          <w:rFonts w:cs="Arial"/>
        </w:rPr>
        <w:t>.</w:t>
      </w:r>
    </w:p>
    <w:p w14:paraId="0E907BC3" w14:textId="77777777" w:rsidR="00F12DF4" w:rsidRPr="00682EAF" w:rsidRDefault="00F12DF4" w:rsidP="00F12DF4">
      <w:pPr>
        <w:rPr>
          <w:rFonts w:cs="Arial"/>
        </w:rPr>
      </w:pPr>
      <w:r w:rsidRPr="00682EAF">
        <w:rPr>
          <w:rFonts w:cs="Arial"/>
        </w:rPr>
        <w:t xml:space="preserve"> </w:t>
      </w:r>
      <w:r w:rsidR="00287521" w:rsidRPr="00682EAF">
        <w:rPr>
          <w:rFonts w:cs="Arial"/>
        </w:rPr>
        <w:t xml:space="preserve"> </w:t>
      </w:r>
    </w:p>
    <w:p w14:paraId="57E8A3C8" w14:textId="77777777" w:rsidR="0025155C" w:rsidRDefault="0025155C" w:rsidP="007140FD">
      <w:pPr>
        <w:spacing w:after="120"/>
        <w:ind w:firstLine="0"/>
        <w:rPr>
          <w:rFonts w:cs="Arial"/>
          <w:b/>
        </w:rPr>
      </w:pPr>
      <w:r w:rsidRPr="00682EAF">
        <w:rPr>
          <w:rFonts w:cs="Arial"/>
          <w:b/>
        </w:rPr>
        <w:t>RESULTADOS E DISCUSSÃO</w:t>
      </w:r>
    </w:p>
    <w:p w14:paraId="12E0157D" w14:textId="77777777" w:rsidR="003F2945" w:rsidRPr="00EA38AE" w:rsidRDefault="003F2945" w:rsidP="003F2945">
      <w:pPr>
        <w:spacing w:after="120"/>
        <w:ind w:firstLine="0"/>
        <w:rPr>
          <w:rFonts w:cs="Arial"/>
          <w:b/>
        </w:rPr>
      </w:pPr>
      <w:r w:rsidRPr="00682EAF">
        <w:rPr>
          <w:rFonts w:cs="Arial"/>
          <w:b/>
        </w:rPr>
        <w:t>Avaliação</w:t>
      </w:r>
      <w:r>
        <w:rPr>
          <w:rFonts w:cs="Arial"/>
          <w:b/>
        </w:rPr>
        <w:t xml:space="preserve"> da experiência com o jogo</w:t>
      </w:r>
    </w:p>
    <w:p w14:paraId="39A50A1E" w14:textId="0087A4F7" w:rsidR="003F2945" w:rsidRDefault="003F2945" w:rsidP="003F2945">
      <w:r>
        <w:t>Observou-se que a maioria dos alunos associou a ausência de informações no início do jogo a dois fatores: à necessidade de aplicação de conhecimentos anteriores e ao fa</w:t>
      </w:r>
      <w:r w:rsidR="001B0216">
        <w:t>to de que a simulação reproduz</w:t>
      </w:r>
      <w:r>
        <w:t xml:space="preserve"> a incerteza dos negócios.  Como destacado por Marques, Pessoa e Sauaia (2004), os jogos buscam estimular a aplicação de conhecimentos prévios obtidos pelos alunos</w:t>
      </w:r>
      <w:r w:rsidR="00280B32">
        <w:t>. O</w:t>
      </w:r>
      <w:r>
        <w:t xml:space="preserve"> número </w:t>
      </w:r>
      <w:r w:rsidR="00280B32">
        <w:t xml:space="preserve">reduzido </w:t>
      </w:r>
      <w:r>
        <w:t xml:space="preserve">de informações no início da simulação instigou os alunos a utilizarem as experiências e </w:t>
      </w:r>
      <w:r w:rsidR="001B0216">
        <w:t xml:space="preserve">os </w:t>
      </w:r>
      <w:r>
        <w:t xml:space="preserve">aprendizados obtidos durante o curso de Administração. </w:t>
      </w:r>
    </w:p>
    <w:p w14:paraId="0B81F319" w14:textId="52D1D911" w:rsidR="003F2945" w:rsidRDefault="003F2945" w:rsidP="003F2945">
      <w:r>
        <w:t xml:space="preserve">Em relação ao escopo do jogo, todos os alunos destacaram que a ferramenta é complementar ao aprendizado teórico, já que promove a aplicação de </w:t>
      </w:r>
      <w:r w:rsidRPr="00E76150">
        <w:t xml:space="preserve">seus conhecimentos, habilidades e atitudes na gestão empresarial. </w:t>
      </w:r>
      <w:r>
        <w:t xml:space="preserve"> Também </w:t>
      </w:r>
      <w:r w:rsidR="00280B32">
        <w:t xml:space="preserve">deve ser </w:t>
      </w:r>
      <w:r w:rsidR="00BD5CFF">
        <w:t>destacado o</w:t>
      </w:r>
      <w:r>
        <w:t xml:space="preserve"> fato de que todos os participantes apontaram a existência de uma relação entre o jogo e as matérias apresentadas pelos docentes em etapas anteriores do curso, o que reitera a efetividade das simulações como uma ferramenta para o reforço de conceitos e a aplicação destes de forma integrada.</w:t>
      </w:r>
    </w:p>
    <w:p w14:paraId="1357C387" w14:textId="77777777" w:rsidR="003F2945" w:rsidRDefault="003F2945" w:rsidP="003F2945">
      <w:pPr>
        <w:rPr>
          <w:rFonts w:cs="Arial"/>
        </w:rPr>
      </w:pPr>
      <w:r>
        <w:t>No tocante ao dinamismo do jogo, todos os participantes salientaram que o aprendizado por meio da prática facilita a integração dos conhecimentos obtidos durante o curso. Além disso, os participantes pontuaram que o jogo proporcionou a visualização das múltiplas consequências de suas decisões dentro do ambiente organizacional, promovendo um raciocínio dinâmico e abrangente em decorrência dos diferentes cenários e situações apresentados em cada jogada, ou seja, conforme enfatizado por Sauaia (1995), os alunos puderam vivenciar diversas interfaces do processo gerencial</w:t>
      </w:r>
      <w:r w:rsidR="001B0216">
        <w:t>,</w:t>
      </w:r>
      <w:r w:rsidRPr="00682EAF">
        <w:rPr>
          <w:rFonts w:cs="Arial"/>
        </w:rPr>
        <w:t xml:space="preserve"> </w:t>
      </w:r>
      <w:r>
        <w:rPr>
          <w:rFonts w:cs="Arial"/>
        </w:rPr>
        <w:t>sem que suas decisões incorressem</w:t>
      </w:r>
      <w:r w:rsidRPr="00682EAF">
        <w:rPr>
          <w:rFonts w:cs="Arial"/>
        </w:rPr>
        <w:t xml:space="preserve"> </w:t>
      </w:r>
      <w:r>
        <w:rPr>
          <w:rFonts w:cs="Arial"/>
        </w:rPr>
        <w:t xml:space="preserve">em </w:t>
      </w:r>
      <w:r w:rsidRPr="00682EAF">
        <w:rPr>
          <w:rFonts w:cs="Arial"/>
        </w:rPr>
        <w:t>consequências reais</w:t>
      </w:r>
      <w:r>
        <w:rPr>
          <w:rFonts w:cs="Arial"/>
        </w:rPr>
        <w:t>.</w:t>
      </w:r>
    </w:p>
    <w:p w14:paraId="28F4C36C" w14:textId="77777777" w:rsidR="003F2945" w:rsidRDefault="003F2945" w:rsidP="003F2945">
      <w:pPr>
        <w:rPr>
          <w:rFonts w:cs="Arial"/>
        </w:rPr>
      </w:pPr>
      <w:r>
        <w:rPr>
          <w:rFonts w:cs="Arial"/>
        </w:rPr>
        <w:t>Em relação ao cenário proposto pelo jogo – um carrinho de lanches – notou-se que a maio</w:t>
      </w:r>
      <w:r w:rsidR="001B0216">
        <w:rPr>
          <w:rFonts w:cs="Arial"/>
        </w:rPr>
        <w:t>r parte dos alunos compreendeu</w:t>
      </w:r>
      <w:r>
        <w:rPr>
          <w:rFonts w:cs="Arial"/>
        </w:rPr>
        <w:t xml:space="preserve"> logo nas primeiras jogadas que a diferenciação dos </w:t>
      </w:r>
      <w:r>
        <w:rPr>
          <w:rFonts w:cs="Arial"/>
        </w:rPr>
        <w:lastRenderedPageBreak/>
        <w:t xml:space="preserve">produtos era nula e os únicos fatores que poderiam aumentar suas participações de mercado eram </w:t>
      </w:r>
      <w:r w:rsidR="001B0216">
        <w:rPr>
          <w:rFonts w:cs="Arial"/>
        </w:rPr>
        <w:t xml:space="preserve">as alterações no </w:t>
      </w:r>
      <w:r>
        <w:rPr>
          <w:rFonts w:cs="Arial"/>
        </w:rPr>
        <w:t>preço e</w:t>
      </w:r>
      <w:r w:rsidR="001B0216">
        <w:rPr>
          <w:rFonts w:cs="Arial"/>
        </w:rPr>
        <w:t xml:space="preserve"> investimentos em</w:t>
      </w:r>
      <w:r>
        <w:rPr>
          <w:rFonts w:cs="Arial"/>
        </w:rPr>
        <w:t xml:space="preserve"> propaganda.</w:t>
      </w:r>
    </w:p>
    <w:p w14:paraId="50F9D49C" w14:textId="77777777" w:rsidR="003F2945" w:rsidRDefault="003F2945" w:rsidP="003F2945">
      <w:pPr>
        <w:rPr>
          <w:rFonts w:cs="Arial"/>
        </w:rPr>
      </w:pPr>
      <w:r>
        <w:rPr>
          <w:rFonts w:cs="Arial"/>
        </w:rPr>
        <w:t xml:space="preserve">Entre os relatos dos discentes concernentes à análise da experiência, destacou-se o reconhecimento dos jogos como uma ferramenta para aplicar o conhecimento obtido durante o curso e a abrangência das análises. Outro fator foi a noção empreendedora criada pelo jogo, já que cada aluno foi responsável pela tomada de decisão em seu negócio e, </w:t>
      </w:r>
      <w:r w:rsidRPr="00682EAF">
        <w:rPr>
          <w:rFonts w:cs="Arial"/>
        </w:rPr>
        <w:t xml:space="preserve">por conta dos rápidos </w:t>
      </w:r>
      <w:r w:rsidRPr="00682EAF">
        <w:rPr>
          <w:rFonts w:cs="Arial"/>
          <w:i/>
        </w:rPr>
        <w:t xml:space="preserve">feedbacks </w:t>
      </w:r>
      <w:r w:rsidRPr="00682EAF">
        <w:rPr>
          <w:rFonts w:cs="Arial"/>
        </w:rPr>
        <w:t>e das novas perspec</w:t>
      </w:r>
      <w:r>
        <w:rPr>
          <w:rFonts w:cs="Arial"/>
        </w:rPr>
        <w:t>tivas, teve a oportunidade de avaliar e redesenhar as estratégias estabelecidas. Além disso, grande parte dos alunos destacou a importância de estar atento as informações do mercado e pautar suas decisões em informações relevantes e conhecimentos que compõem a gestão empresarial.</w:t>
      </w:r>
    </w:p>
    <w:p w14:paraId="1B5E3E5D" w14:textId="77777777" w:rsidR="003F2945" w:rsidRPr="003F2945" w:rsidRDefault="003F2945" w:rsidP="003F2945">
      <w:pPr>
        <w:rPr>
          <w:rFonts w:cs="Arial"/>
        </w:rPr>
      </w:pPr>
    </w:p>
    <w:p w14:paraId="098B3986" w14:textId="77777777" w:rsidR="0025155C" w:rsidRDefault="003F2945" w:rsidP="007140FD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 xml:space="preserve">Mapeamento de Competências </w:t>
      </w:r>
    </w:p>
    <w:p w14:paraId="3D2A84F3" w14:textId="77777777" w:rsidR="001B0216" w:rsidRDefault="003F2945" w:rsidP="00D91C15">
      <w:pPr>
        <w:rPr>
          <w:rFonts w:cs="Arial"/>
        </w:rPr>
      </w:pPr>
      <w:r>
        <w:t xml:space="preserve">A partir do questionário aplicado </w:t>
      </w:r>
      <w:r w:rsidR="00794189">
        <w:t>inicialmente, cada aluno classificou</w:t>
      </w:r>
      <w:r w:rsidR="00441D6C">
        <w:t xml:space="preserve"> cada um dos</w:t>
      </w:r>
      <w:r>
        <w:t xml:space="preserve"> atributos de competência relacionados à capacidade analítica</w:t>
      </w:r>
      <w:r w:rsidR="001B0216">
        <w:t>, apresentados no Quadro 1,</w:t>
      </w:r>
      <w:r>
        <w:t xml:space="preserve"> como um</w:t>
      </w:r>
      <w:r>
        <w:rPr>
          <w:rFonts w:cs="Arial"/>
        </w:rPr>
        <w:t xml:space="preserve"> “Ponto Positivo” ou um “Ponto de Melhoria”</w:t>
      </w:r>
      <w:r w:rsidR="00794189">
        <w:rPr>
          <w:rFonts w:cs="Arial"/>
        </w:rPr>
        <w:t>.</w:t>
      </w:r>
      <w:r w:rsidR="00787E6C">
        <w:rPr>
          <w:rFonts w:cs="Arial"/>
        </w:rPr>
        <w:t xml:space="preserve"> </w:t>
      </w:r>
    </w:p>
    <w:p w14:paraId="233B2BC1" w14:textId="77777777" w:rsidR="00E646DB" w:rsidRDefault="00787E6C" w:rsidP="00D91C15">
      <w:pPr>
        <w:rPr>
          <w:rFonts w:cs="Arial"/>
        </w:rPr>
      </w:pPr>
      <w:r>
        <w:rPr>
          <w:rFonts w:cs="Arial"/>
        </w:rPr>
        <w:t>Com base na</w:t>
      </w:r>
      <w:r w:rsidR="003F2945">
        <w:rPr>
          <w:rFonts w:cs="Arial"/>
        </w:rPr>
        <w:t>s respostas obtidas junto aos 33 discentes que participaram desta</w:t>
      </w:r>
      <w:r w:rsidR="00E73526">
        <w:rPr>
          <w:rFonts w:cs="Arial"/>
        </w:rPr>
        <w:t xml:space="preserve"> etapa inicial, </w:t>
      </w:r>
      <w:r w:rsidR="003F2945">
        <w:rPr>
          <w:rFonts w:cs="Arial"/>
        </w:rPr>
        <w:t>foi poss</w:t>
      </w:r>
      <w:r w:rsidR="00794189">
        <w:rPr>
          <w:rFonts w:cs="Arial"/>
        </w:rPr>
        <w:t>ível apurar o total de classificações dos atributos de competência dentro de cada dimensão, como evidenciado no Quadro 3.</w:t>
      </w:r>
    </w:p>
    <w:p w14:paraId="300A5DE9" w14:textId="77777777" w:rsidR="00794189" w:rsidRPr="00794189" w:rsidRDefault="00794189" w:rsidP="00794189">
      <w:pPr>
        <w:spacing w:before="120" w:line="240" w:lineRule="auto"/>
        <w:ind w:firstLine="0"/>
        <w:rPr>
          <w:rFonts w:cs="Arial"/>
          <w:sz w:val="20"/>
        </w:rPr>
      </w:pPr>
      <w:r w:rsidRPr="0027499B">
        <w:rPr>
          <w:rFonts w:cs="Arial"/>
          <w:sz w:val="20"/>
        </w:rPr>
        <w:t>Q</w:t>
      </w:r>
      <w:r>
        <w:rPr>
          <w:rFonts w:cs="Arial"/>
          <w:sz w:val="20"/>
        </w:rPr>
        <w:t>UADRO 3</w:t>
      </w:r>
      <w:r w:rsidRPr="0027499B">
        <w:rPr>
          <w:rFonts w:cs="Arial"/>
          <w:sz w:val="20"/>
        </w:rPr>
        <w:t>:</w:t>
      </w:r>
      <w:r>
        <w:rPr>
          <w:rFonts w:cs="Arial"/>
          <w:sz w:val="20"/>
        </w:rPr>
        <w:t xml:space="preserve"> Total de classificações recebidas em cada aspecto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997"/>
        <w:gridCol w:w="2925"/>
        <w:gridCol w:w="1827"/>
      </w:tblGrid>
      <w:tr w:rsidR="00E46978" w:rsidRPr="00E46978" w14:paraId="756A09B0" w14:textId="77777777" w:rsidTr="00794189">
        <w:trPr>
          <w:trHeight w:val="32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8C18279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6978">
              <w:rPr>
                <w:b/>
                <w:color w:val="FFFFFF" w:themeColor="background1"/>
                <w:sz w:val="20"/>
                <w:szCs w:val="20"/>
              </w:rPr>
              <w:t>Aspectos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2B712BB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6978">
              <w:rPr>
                <w:b/>
                <w:color w:val="FFFFFF" w:themeColor="background1"/>
                <w:sz w:val="20"/>
                <w:szCs w:val="20"/>
              </w:rPr>
              <w:t>Ponto Forte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456614E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6978">
              <w:rPr>
                <w:b/>
                <w:color w:val="FFFFFF" w:themeColor="background1"/>
                <w:sz w:val="20"/>
                <w:szCs w:val="20"/>
              </w:rPr>
              <w:t>Ponto de Melhoria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0DFD138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6978">
              <w:rPr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E46978" w:rsidRPr="00E46978" w14:paraId="2CE243CB" w14:textId="77777777" w:rsidTr="00794189">
        <w:trPr>
          <w:trHeight w:val="32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2958F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Conhecimentos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42B9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72</w:t>
            </w:r>
          </w:p>
          <w:p w14:paraId="1C7CA0C2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(36,36%)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FE2F4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126</w:t>
            </w:r>
          </w:p>
          <w:p w14:paraId="6C22987C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(63,64%)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B1FB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198</w:t>
            </w:r>
          </w:p>
          <w:p w14:paraId="7AF89111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(100%)</w:t>
            </w:r>
          </w:p>
        </w:tc>
      </w:tr>
      <w:tr w:rsidR="00E46978" w:rsidRPr="00E46978" w14:paraId="2268F865" w14:textId="77777777" w:rsidTr="00794189">
        <w:trPr>
          <w:trHeight w:val="32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9E15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Habilidades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7594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420</w:t>
            </w:r>
          </w:p>
          <w:p w14:paraId="715B829C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(53,03%)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7E53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372</w:t>
            </w:r>
          </w:p>
          <w:p w14:paraId="67312678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(46,97%)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AE25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792</w:t>
            </w:r>
          </w:p>
          <w:p w14:paraId="332EB881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(100%)</w:t>
            </w:r>
          </w:p>
        </w:tc>
      </w:tr>
      <w:tr w:rsidR="00E46978" w:rsidRPr="00E46978" w14:paraId="23046852" w14:textId="77777777" w:rsidTr="00794189">
        <w:trPr>
          <w:trHeight w:val="32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F1C4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Atitudes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B316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375</w:t>
            </w:r>
          </w:p>
          <w:p w14:paraId="0FE32664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(66,84%)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842D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186</w:t>
            </w:r>
          </w:p>
          <w:p w14:paraId="178F6E85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(33,16%)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9252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561</w:t>
            </w:r>
          </w:p>
          <w:p w14:paraId="42ED41DC" w14:textId="77777777" w:rsidR="00794189" w:rsidRPr="00E46978" w:rsidRDefault="00794189" w:rsidP="007941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(100%)</w:t>
            </w:r>
          </w:p>
        </w:tc>
      </w:tr>
      <w:tr w:rsidR="00E46978" w:rsidRPr="00E46978" w14:paraId="61E3D43F" w14:textId="77777777" w:rsidTr="00794189">
        <w:trPr>
          <w:trHeight w:val="32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CBA1" w14:textId="77777777" w:rsidR="00E46978" w:rsidRP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E863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867</w:t>
            </w:r>
          </w:p>
          <w:p w14:paraId="4EE1CC0C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(55,69%)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B709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684</w:t>
            </w:r>
          </w:p>
          <w:p w14:paraId="7143AEEE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(44,11%)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D86C" w14:textId="77777777" w:rsidR="00E46978" w:rsidRDefault="00E46978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46978">
              <w:rPr>
                <w:color w:val="000000"/>
                <w:sz w:val="20"/>
                <w:szCs w:val="20"/>
              </w:rPr>
              <w:t>1551</w:t>
            </w:r>
          </w:p>
          <w:p w14:paraId="6B6D79BA" w14:textId="77777777" w:rsidR="00794189" w:rsidRPr="00E46978" w:rsidRDefault="00794189" w:rsidP="00E4697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(100%)</w:t>
            </w:r>
          </w:p>
        </w:tc>
      </w:tr>
    </w:tbl>
    <w:p w14:paraId="7C526281" w14:textId="77777777" w:rsidR="00794189" w:rsidRPr="006D36A1" w:rsidRDefault="00794189" w:rsidP="00794189">
      <w:pPr>
        <w:spacing w:after="120"/>
        <w:ind w:firstLine="0"/>
        <w:rPr>
          <w:rFonts w:cs="Arial"/>
          <w:sz w:val="20"/>
        </w:rPr>
      </w:pPr>
      <w:r w:rsidRPr="0027499B">
        <w:rPr>
          <w:rFonts w:cs="Arial"/>
          <w:sz w:val="20"/>
        </w:rPr>
        <w:t>Fonte: elaborado pelos autores</w:t>
      </w:r>
      <w:r>
        <w:rPr>
          <w:rFonts w:cs="Arial"/>
          <w:sz w:val="20"/>
        </w:rPr>
        <w:t xml:space="preserve"> com base em resultados da pesquisa</w:t>
      </w:r>
      <w:r w:rsidRPr="0027499B">
        <w:rPr>
          <w:rFonts w:cs="Arial"/>
          <w:sz w:val="20"/>
        </w:rPr>
        <w:t>.</w:t>
      </w:r>
    </w:p>
    <w:p w14:paraId="7F99E519" w14:textId="77777777" w:rsidR="004F0513" w:rsidRDefault="00735D14" w:rsidP="004F0513">
      <w:r>
        <w:t>Observou</w:t>
      </w:r>
      <w:r w:rsidR="00794189">
        <w:t xml:space="preserve">-se que os atributos pertencentes a dimensão </w:t>
      </w:r>
      <w:r w:rsidR="004F0513">
        <w:t xml:space="preserve">Conhecimentos foram aqueles </w:t>
      </w:r>
      <w:r w:rsidR="001B0216">
        <w:t>receberam o</w:t>
      </w:r>
      <w:r w:rsidR="003D257B">
        <w:t xml:space="preserve"> maior número de </w:t>
      </w:r>
      <w:r w:rsidR="00441D6C">
        <w:t>avaliações do tipo “Pontos de Melhoria”, ou seja, dentre as 198 respostas obtidas dentro da dimensão, 126 avaliações pontuaram algum dos seis elementos da dimensão Conhecimento como um aspecto a ser melhorado em sua formação.</w:t>
      </w:r>
      <w:r w:rsidR="004F0513">
        <w:t xml:space="preserve"> Dentre estes </w:t>
      </w:r>
      <w:r w:rsidR="00441D6C">
        <w:t>elementos</w:t>
      </w:r>
      <w:r w:rsidR="001B0216">
        <w:t>,</w:t>
      </w:r>
      <w:r w:rsidR="004F0513">
        <w:t xml:space="preserve"> destacam-se os conhecimentos relacionados a </w:t>
      </w:r>
      <w:r w:rsidR="00441D6C">
        <w:t>“Metodologia C</w:t>
      </w:r>
      <w:r w:rsidR="004F0513">
        <w:t>ientífica</w:t>
      </w:r>
      <w:r w:rsidR="00441D6C">
        <w:t>”, avaliado como ponto de melhoria por 31 alunos, os “M</w:t>
      </w:r>
      <w:r w:rsidR="004F0513">
        <w:t>étodos, téc</w:t>
      </w:r>
      <w:r w:rsidR="00441D6C">
        <w:t xml:space="preserve">nicas e ferramentas de análise”, apontado por </w:t>
      </w:r>
      <w:r w:rsidR="004F0513">
        <w:t>22</w:t>
      </w:r>
      <w:r w:rsidR="00441D6C">
        <w:t xml:space="preserve"> alunos, e a “Tecnologia da I</w:t>
      </w:r>
      <w:r w:rsidR="004F0513">
        <w:t>nformação</w:t>
      </w:r>
      <w:r w:rsidR="00441D6C">
        <w:t>”, pontuada 20 alunos</w:t>
      </w:r>
      <w:r w:rsidR="004F0513">
        <w:t>.</w:t>
      </w:r>
    </w:p>
    <w:p w14:paraId="4DF6E233" w14:textId="77777777" w:rsidR="001B0216" w:rsidRDefault="00441D6C" w:rsidP="004A2435">
      <w:r>
        <w:lastRenderedPageBreak/>
        <w:t>Em relação à dimensão Habilidades,</w:t>
      </w:r>
      <w:r w:rsidR="001B0216">
        <w:t xml:space="preserve"> mais da metade dos atributos foram destacadas como características fortes dos alunos. Entretanto</w:t>
      </w:r>
      <w:r>
        <w:t xml:space="preserve"> os atributos “Ext</w:t>
      </w:r>
      <w:r w:rsidR="001B0216">
        <w:t xml:space="preserve">rair implicações estratégicas” foi apontado por </w:t>
      </w:r>
      <w:r>
        <w:t>26 alunos</w:t>
      </w:r>
      <w:r w:rsidR="001B0216">
        <w:t xml:space="preserve"> como um ponto de melhoria, seguido por</w:t>
      </w:r>
      <w:r>
        <w:t xml:space="preserve"> “Capacidade de síntese”</w:t>
      </w:r>
      <w:r w:rsidR="00DB4283">
        <w:t xml:space="preserve"> (22 alunos), “</w:t>
      </w:r>
      <w:r>
        <w:t>Lidar com ambiguidades, conflitos e dados incompletos</w:t>
      </w:r>
      <w:r w:rsidR="00DB4283">
        <w:t>” e “S</w:t>
      </w:r>
      <w:r>
        <w:t>aber quando parar a análise</w:t>
      </w:r>
      <w:r w:rsidR="00DB4283">
        <w:t>”, ambas destacadas como aspectos de melhoria por 23 alunos.</w:t>
      </w:r>
      <w:r w:rsidR="004A2435">
        <w:t xml:space="preserve"> </w:t>
      </w:r>
    </w:p>
    <w:p w14:paraId="13508A95" w14:textId="77777777" w:rsidR="00280B32" w:rsidRDefault="004A2435" w:rsidP="004A2435">
      <w:r>
        <w:t>Já n</w:t>
      </w:r>
      <w:r w:rsidR="00DB4283">
        <w:t>a dimens</w:t>
      </w:r>
      <w:r>
        <w:t>ão A</w:t>
      </w:r>
      <w:r w:rsidR="00DB4283">
        <w:t>titude</w:t>
      </w:r>
      <w:r w:rsidR="001B0216">
        <w:t>s</w:t>
      </w:r>
      <w:r w:rsidR="00DB4283">
        <w:t xml:space="preserve">, </w:t>
      </w:r>
      <w:r w:rsidR="001B0216">
        <w:t xml:space="preserve">observou-se que aproximadamente 67% das avaliações </w:t>
      </w:r>
      <w:r w:rsidR="0031098C">
        <w:t>elencaram um</w:t>
      </w:r>
      <w:r w:rsidR="00735D14">
        <w:t xml:space="preserve"> dos atributos como ponto forte, sendo a categoria com maior percentual. Em relação aos pontos de melhoria, os participantes destacaram </w:t>
      </w:r>
      <w:r w:rsidR="00DB4283">
        <w:t>a “Meticulosidade” (20 alunos), o “Perfeccionismo” (17 alunos) e a “Proatividade” (16 alunos).</w:t>
      </w:r>
      <w:r>
        <w:t xml:space="preserve"> </w:t>
      </w:r>
      <w:r w:rsidR="00DB4283">
        <w:t xml:space="preserve">A Figura 1 apresenta os 10 atributos com maior número de avalições do tipo “Ponto de melhoria”. </w:t>
      </w:r>
    </w:p>
    <w:p w14:paraId="13E1379F" w14:textId="77777777" w:rsidR="00052FF2" w:rsidRDefault="00280B32" w:rsidP="006C1DC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Arial"/>
          <w:color w:val="00000A"/>
          <w:sz w:val="20"/>
          <w:szCs w:val="20"/>
          <w:lang w:eastAsia="en-US"/>
        </w:rPr>
      </w:pPr>
      <w:r w:rsidRPr="00D91C15">
        <w:rPr>
          <w:rFonts w:eastAsiaTheme="minorHAnsi" w:cs="Arial"/>
          <w:b/>
          <w:color w:val="00000A"/>
          <w:sz w:val="20"/>
          <w:szCs w:val="20"/>
          <w:lang w:eastAsia="en-US"/>
        </w:rPr>
        <w:t>FIGURA 1.</w:t>
      </w: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color w:val="00000A"/>
          <w:sz w:val="20"/>
          <w:szCs w:val="20"/>
          <w:lang w:eastAsia="en-US"/>
        </w:rPr>
        <w:t>Os 10 atributos com maior número de classificações do gênero “Ponto de Melhoria”</w:t>
      </w:r>
    </w:p>
    <w:p w14:paraId="1993B98C" w14:textId="77777777" w:rsidR="00E646DB" w:rsidRDefault="00DB4283" w:rsidP="00DB4283">
      <w:pPr>
        <w:ind w:firstLine="0"/>
      </w:pPr>
      <w:r>
        <w:rPr>
          <w:noProof/>
        </w:rPr>
        <w:drawing>
          <wp:inline distT="0" distB="0" distL="0" distR="0" wp14:anchorId="45E3086A" wp14:editId="31C6B223">
            <wp:extent cx="5723255" cy="2375941"/>
            <wp:effectExtent l="0" t="0" r="4445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12D71F63-8C3F-CD46-B64C-0E17A86A74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41F53E" w14:textId="77777777" w:rsidR="00280B32" w:rsidRDefault="00280B32" w:rsidP="00280B32">
      <w:pPr>
        <w:spacing w:after="120"/>
        <w:ind w:firstLine="0"/>
        <w:jc w:val="center"/>
        <w:rPr>
          <w:rFonts w:eastAsiaTheme="minorHAnsi" w:cs="Arial"/>
          <w:color w:val="00000A"/>
          <w:sz w:val="20"/>
          <w:szCs w:val="20"/>
          <w:lang w:eastAsia="en-US"/>
        </w:rPr>
      </w:pP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>Fonte: elaborado pelos autores com base nos dados da pesquisa.</w:t>
      </w:r>
    </w:p>
    <w:p w14:paraId="6C32BCBD" w14:textId="77777777" w:rsidR="00ED3720" w:rsidRDefault="00ED3720" w:rsidP="00DB4283">
      <w:pPr>
        <w:ind w:firstLine="0"/>
      </w:pPr>
      <w:r>
        <w:tab/>
        <w:t>Após o cadastramento no site bumburguer.net, os participantes deram início às jogadas individuais e foram apresentados, com o passar das rodadas a uma série de ferramentas de análise, como os Demonstrativos de Resultado (DRE) e Fluxo de Caixa (DFC), os relatórios de estoque, o histórico de vendas e decisões de jogadas anteriores e os dados sobre o mercado e a concorrência.</w:t>
      </w:r>
    </w:p>
    <w:p w14:paraId="717F9319" w14:textId="1F896E81" w:rsidR="009D6014" w:rsidRDefault="00ED3720" w:rsidP="00DB4283">
      <w:pPr>
        <w:ind w:firstLine="0"/>
      </w:pPr>
      <w:r>
        <w:tab/>
        <w:t xml:space="preserve">A cada jogada os alunos eram estimulados a utilizar todas as ferramentas a fim de vivenciar um processo de tomada de decisão sistêmico. Ao final da última rodada, os alunos preencheram novamente o questionário para avaliação dos </w:t>
      </w:r>
      <w:r w:rsidR="00735D14">
        <w:t>a</w:t>
      </w:r>
      <w:r>
        <w:t>tributos de competência, mas</w:t>
      </w:r>
      <w:r w:rsidR="00735D14">
        <w:t>,</w:t>
      </w:r>
      <w:r w:rsidR="00280B32">
        <w:t xml:space="preserve"> </w:t>
      </w:r>
      <w:r>
        <w:t>dessa ve</w:t>
      </w:r>
      <w:r w:rsidR="00735D14">
        <w:t xml:space="preserve">z, </w:t>
      </w:r>
      <w:r>
        <w:t>analisando, em uma escala de 0 a 10, o quanto cada um dos itens havia sido importante para a tomada de decisão.</w:t>
      </w:r>
      <w:r w:rsidR="009D6014">
        <w:t xml:space="preserve"> </w:t>
      </w:r>
    </w:p>
    <w:p w14:paraId="463B0A69" w14:textId="76610E72" w:rsidR="00ED3720" w:rsidRDefault="009D6014" w:rsidP="009D6014">
      <w:pPr>
        <w:ind w:firstLine="708"/>
      </w:pPr>
      <w:r>
        <w:t xml:space="preserve">Neste momento, apenas 13 alunos responderam ao questionário e a pontuação máxima obtida </w:t>
      </w:r>
      <w:r w:rsidR="00280B32">
        <w:t xml:space="preserve">em </w:t>
      </w:r>
      <w:r>
        <w:t xml:space="preserve">cada um dos atributos é de 130 pontos, caso todos os participantes entendessem que determinado atributo foi “Extremamente Importante” no processo de tomada de decisão.  </w:t>
      </w:r>
    </w:p>
    <w:p w14:paraId="620B4060" w14:textId="77777777" w:rsidR="009D6014" w:rsidRDefault="00735D14" w:rsidP="009D6014">
      <w:pPr>
        <w:ind w:firstLine="708"/>
      </w:pPr>
      <w:r>
        <w:lastRenderedPageBreak/>
        <w:t>Observou</w:t>
      </w:r>
      <w:r w:rsidR="009D6014">
        <w:t xml:space="preserve">-se que na </w:t>
      </w:r>
      <w:r w:rsidR="004613B4">
        <w:t>dimensão</w:t>
      </w:r>
      <w:r w:rsidR="009D6014">
        <w:t xml:space="preserve"> Conhecimentos, o atributo denominado “Métodos, técnicas e ferramentas de análise”, apontado como um fator de melhoria por grande parte dos participantes na primeira etapa do trabalho, foi o que mais se destacou quanto a sua importância no processo de tomada de decis</w:t>
      </w:r>
      <w:r w:rsidR="007E51F5">
        <w:t>ão</w:t>
      </w:r>
      <w:r>
        <w:t xml:space="preserve"> no jogo BomBurguer</w:t>
      </w:r>
      <w:r w:rsidR="007E51F5">
        <w:t xml:space="preserve"> (Figura 2).</w:t>
      </w:r>
    </w:p>
    <w:p w14:paraId="64B181BB" w14:textId="77777777" w:rsidR="00052FF2" w:rsidRDefault="00280B32" w:rsidP="006C1DC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Arial"/>
          <w:color w:val="00000A"/>
          <w:sz w:val="20"/>
          <w:szCs w:val="20"/>
          <w:lang w:eastAsia="en-US"/>
        </w:rPr>
      </w:pPr>
      <w:r>
        <w:rPr>
          <w:rFonts w:eastAsiaTheme="minorHAnsi" w:cs="Arial"/>
          <w:b/>
          <w:color w:val="00000A"/>
          <w:sz w:val="20"/>
          <w:szCs w:val="20"/>
          <w:lang w:eastAsia="en-US"/>
        </w:rPr>
        <w:t>FIGURA 2</w:t>
      </w:r>
      <w:r w:rsidRPr="00D91C15">
        <w:rPr>
          <w:rFonts w:eastAsiaTheme="minorHAnsi" w:cs="Arial"/>
          <w:b/>
          <w:color w:val="00000A"/>
          <w:sz w:val="20"/>
          <w:szCs w:val="20"/>
          <w:lang w:eastAsia="en-US"/>
        </w:rPr>
        <w:t>.</w:t>
      </w: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 xml:space="preserve"> Atributos de Conhecimento</w:t>
      </w:r>
    </w:p>
    <w:p w14:paraId="6A394A3B" w14:textId="77777777" w:rsidR="00952179" w:rsidRDefault="00871E3B" w:rsidP="002202B4">
      <w:pPr>
        <w:ind w:firstLine="0"/>
        <w:rPr>
          <w:rFonts w:cs="Arial"/>
          <w:b/>
        </w:rPr>
      </w:pPr>
      <w:r>
        <w:rPr>
          <w:noProof/>
        </w:rPr>
        <w:drawing>
          <wp:inline distT="0" distB="0" distL="0" distR="0" wp14:anchorId="2EACA436" wp14:editId="302467A3">
            <wp:extent cx="5723467" cy="2184400"/>
            <wp:effectExtent l="0" t="0" r="444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D7F2A65-074D-1549-8FE6-567E48EB52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E11ED3" w14:textId="77777777" w:rsidR="00D91C15" w:rsidRDefault="00D91C15" w:rsidP="00A75C15">
      <w:pPr>
        <w:spacing w:after="120"/>
        <w:ind w:firstLine="0"/>
        <w:jc w:val="center"/>
        <w:rPr>
          <w:rFonts w:eastAsiaTheme="minorHAnsi" w:cs="Arial"/>
          <w:color w:val="00000A"/>
          <w:sz w:val="20"/>
          <w:szCs w:val="20"/>
          <w:lang w:eastAsia="en-US"/>
        </w:rPr>
      </w:pP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>Fonte: elaborado pelos autores com base nos dados da pesquisa.</w:t>
      </w:r>
    </w:p>
    <w:p w14:paraId="1B685128" w14:textId="77777777" w:rsidR="00AF333A" w:rsidRDefault="004613B4" w:rsidP="00257DF1">
      <w:pPr>
        <w:ind w:firstLine="708"/>
        <w:rPr>
          <w:rFonts w:cs="Arial"/>
        </w:rPr>
      </w:pPr>
      <w:r>
        <w:t>Em relação à dimensão Habilidades, destaca</w:t>
      </w:r>
      <w:r w:rsidR="00735D14">
        <w:t>ra</w:t>
      </w:r>
      <w:r>
        <w:t>m-se o “Pensamento Analítico”, o “Raciocínio Estratégico”</w:t>
      </w:r>
      <w:r w:rsidR="00257DF1">
        <w:t xml:space="preserve"> o “Raciocínio Lógico”, a “Intuição” e a habilidade para “Extrair dados relevantes”</w:t>
      </w:r>
      <w:r w:rsidR="007E51F5">
        <w:t>, como demonstra a Figura 3</w:t>
      </w:r>
      <w:r w:rsidR="00735D14">
        <w:t>. Observou</w:t>
      </w:r>
      <w:r w:rsidR="00257DF1">
        <w:t>-se que a maioria dos atributos recebeu pontuações próximas e superiores à dimensão Conhecimento, o que pode sugerir que o jogo possui a capacidade de acessar</w:t>
      </w:r>
      <w:r w:rsidR="00735D14">
        <w:t>,</w:t>
      </w:r>
      <w:r w:rsidR="00257DF1">
        <w:t xml:space="preserve"> de forma mais precisa</w:t>
      </w:r>
      <w:r w:rsidR="00735D14">
        <w:t>,</w:t>
      </w:r>
      <w:r w:rsidR="00257DF1">
        <w:t xml:space="preserve"> os conhe</w:t>
      </w:r>
      <w:r w:rsidR="00257DF1" w:rsidRPr="004771E5">
        <w:t>cimentos prévios obtidos pelos alunos</w:t>
      </w:r>
      <w:r w:rsidR="00257DF1">
        <w:t xml:space="preserve"> </w:t>
      </w:r>
      <w:r w:rsidR="00257DF1" w:rsidRPr="00682EAF">
        <w:rPr>
          <w:rFonts w:cs="Arial"/>
        </w:rPr>
        <w:t>(MARQUES; PESSOA; SAUAIA, 2004)</w:t>
      </w:r>
      <w:r w:rsidR="00257DF1">
        <w:rPr>
          <w:rFonts w:cs="Arial"/>
        </w:rPr>
        <w:t>.</w:t>
      </w:r>
    </w:p>
    <w:p w14:paraId="0BFE3078" w14:textId="6633C751" w:rsidR="00052FF2" w:rsidRDefault="00280B32" w:rsidP="006C1DC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Arial"/>
          <w:color w:val="00000A"/>
          <w:sz w:val="20"/>
          <w:szCs w:val="20"/>
          <w:lang w:eastAsia="en-US"/>
        </w:rPr>
      </w:pPr>
      <w:r>
        <w:rPr>
          <w:rFonts w:eastAsiaTheme="minorHAnsi" w:cs="Arial"/>
          <w:b/>
          <w:color w:val="00000A"/>
          <w:sz w:val="20"/>
          <w:szCs w:val="20"/>
          <w:lang w:eastAsia="en-US"/>
        </w:rPr>
        <w:t>FIGURA 3</w:t>
      </w:r>
      <w:r w:rsidRPr="00D91C15">
        <w:rPr>
          <w:rFonts w:eastAsiaTheme="minorHAnsi" w:cs="Arial"/>
          <w:b/>
          <w:color w:val="00000A"/>
          <w:sz w:val="20"/>
          <w:szCs w:val="20"/>
          <w:lang w:eastAsia="en-US"/>
        </w:rPr>
        <w:t>.</w:t>
      </w: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color w:val="00000A"/>
          <w:sz w:val="20"/>
          <w:szCs w:val="20"/>
          <w:lang w:eastAsia="en-US"/>
        </w:rPr>
        <w:t xml:space="preserve"> </w:t>
      </w: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 xml:space="preserve">Atributos de </w:t>
      </w:r>
      <w:r>
        <w:rPr>
          <w:rFonts w:eastAsiaTheme="minorHAnsi" w:cs="Arial"/>
          <w:color w:val="00000A"/>
          <w:sz w:val="20"/>
          <w:szCs w:val="20"/>
          <w:lang w:eastAsia="en-US"/>
        </w:rPr>
        <w:t>Habilidades</w:t>
      </w:r>
    </w:p>
    <w:p w14:paraId="67D3BFF7" w14:textId="77777777" w:rsidR="00952179" w:rsidRDefault="00257DF1" w:rsidP="002202B4">
      <w:pPr>
        <w:ind w:firstLine="0"/>
        <w:rPr>
          <w:rFonts w:cs="Arial"/>
          <w:b/>
        </w:rPr>
      </w:pPr>
      <w:r>
        <w:rPr>
          <w:noProof/>
        </w:rPr>
        <w:drawing>
          <wp:inline distT="0" distB="0" distL="0" distR="0" wp14:anchorId="7FA89EA5" wp14:editId="02DB1642">
            <wp:extent cx="5756275" cy="2705725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FB506FD7-5972-3443-8646-B3AB75175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E9724F" w14:textId="77777777" w:rsidR="00D91C15" w:rsidRPr="00D91C15" w:rsidRDefault="00D91C15" w:rsidP="00A75C15">
      <w:pPr>
        <w:spacing w:after="120"/>
        <w:ind w:firstLine="0"/>
        <w:jc w:val="center"/>
        <w:rPr>
          <w:rFonts w:cs="Arial"/>
          <w:b/>
        </w:rPr>
      </w:pP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>Fonte: elaborado pelos autores com base nos dados da pesquisa.</w:t>
      </w:r>
    </w:p>
    <w:p w14:paraId="10D3070F" w14:textId="77777777" w:rsidR="001B0216" w:rsidRDefault="004A2435" w:rsidP="001B0216">
      <w:pPr>
        <w:rPr>
          <w:rFonts w:cs="Arial"/>
        </w:rPr>
      </w:pPr>
      <w:r>
        <w:lastRenderedPageBreak/>
        <w:t>Quanto os atributos de Atit</w:t>
      </w:r>
      <w:r w:rsidR="00735D14">
        <w:t>ude, destacaram-se a “C</w:t>
      </w:r>
      <w:r w:rsidR="007E51F5">
        <w:t>uriosidade</w:t>
      </w:r>
      <w:r w:rsidR="00735D14">
        <w:t>”, a “C</w:t>
      </w:r>
      <w:r w:rsidR="007E51F5">
        <w:t>riatividade</w:t>
      </w:r>
      <w:r w:rsidR="00735D14">
        <w:t>”</w:t>
      </w:r>
      <w:r w:rsidR="007E51F5">
        <w:t xml:space="preserve">, a </w:t>
      </w:r>
      <w:r w:rsidR="00735D14">
        <w:t>“P</w:t>
      </w:r>
      <w:r w:rsidR="007E51F5">
        <w:t>erseverança</w:t>
      </w:r>
      <w:r w:rsidR="00735D14">
        <w:t>”</w:t>
      </w:r>
      <w:r w:rsidR="007E51F5">
        <w:t xml:space="preserve"> </w:t>
      </w:r>
      <w:r w:rsidR="00735D14">
        <w:t>e a “O</w:t>
      </w:r>
      <w:r w:rsidR="007E51F5">
        <w:t>bservação</w:t>
      </w:r>
      <w:r w:rsidR="00735D14">
        <w:t>”</w:t>
      </w:r>
      <w:r w:rsidR="007E51F5">
        <w:t xml:space="preserve">, como demonstra a Figura 4. </w:t>
      </w:r>
      <w:r w:rsidR="001B0216">
        <w:rPr>
          <w:rFonts w:cs="Arial"/>
        </w:rPr>
        <w:t>Dentre os fatores pelos quais o atributo “Curiosidade” se destacou, observou-se que a apresentação de um número reduzido de informações acerca do jogo nas primeiras jogadas atingiu o objetivo de criar nos alunos o interesse de buscar os dados necessários para a tomada de decisão, aguçando a curiosidade quanto à</w:t>
      </w:r>
      <w:r w:rsidR="001B0216" w:rsidRPr="002202B4">
        <w:rPr>
          <w:rFonts w:cs="Arial"/>
        </w:rPr>
        <w:t xml:space="preserve"> gestão de uma empresa.</w:t>
      </w:r>
      <w:r w:rsidR="001B0216" w:rsidRPr="00682EAF">
        <w:rPr>
          <w:rFonts w:cs="Arial"/>
        </w:rPr>
        <w:t xml:space="preserve"> </w:t>
      </w:r>
    </w:p>
    <w:p w14:paraId="0AC2936F" w14:textId="6B7260FD" w:rsidR="00871E3B" w:rsidRDefault="007E51F5" w:rsidP="004A2435">
      <w:r>
        <w:t xml:space="preserve">Ressalta-se ainda o fato de que os atributos de Atitude receberam as maiores pontuações, quando comparados às outras duas dimensões, sugerindo que o jogo promove o envolvimento dos participantes e acessa </w:t>
      </w:r>
      <w:r w:rsidR="00DC0384">
        <w:t xml:space="preserve">as </w:t>
      </w:r>
      <w:r>
        <w:t>características individuais (saber s</w:t>
      </w:r>
      <w:r w:rsidR="00735D14">
        <w:t>er) de cada um dos jogadores</w:t>
      </w:r>
      <w:r>
        <w:t>.</w:t>
      </w:r>
    </w:p>
    <w:p w14:paraId="659EB9A7" w14:textId="77777777" w:rsidR="00280B32" w:rsidRPr="00D91C15" w:rsidRDefault="00280B32" w:rsidP="00280B3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Arial"/>
          <w:color w:val="00000A"/>
          <w:sz w:val="20"/>
          <w:szCs w:val="20"/>
          <w:lang w:eastAsia="en-US"/>
        </w:rPr>
      </w:pPr>
      <w:r>
        <w:rPr>
          <w:rFonts w:eastAsiaTheme="minorHAnsi" w:cs="Arial"/>
          <w:b/>
          <w:color w:val="00000A"/>
          <w:sz w:val="20"/>
          <w:szCs w:val="20"/>
          <w:lang w:eastAsia="en-US"/>
        </w:rPr>
        <w:t>FIGURA 4</w:t>
      </w:r>
      <w:r w:rsidRPr="00D91C15">
        <w:rPr>
          <w:rFonts w:eastAsiaTheme="minorHAnsi" w:cs="Arial"/>
          <w:b/>
          <w:color w:val="00000A"/>
          <w:sz w:val="20"/>
          <w:szCs w:val="20"/>
          <w:lang w:eastAsia="en-US"/>
        </w:rPr>
        <w:t>.</w:t>
      </w: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 xml:space="preserve"> Atributos de </w:t>
      </w:r>
      <w:r>
        <w:rPr>
          <w:rFonts w:eastAsiaTheme="minorHAnsi" w:cs="Arial"/>
          <w:color w:val="00000A"/>
          <w:sz w:val="20"/>
          <w:szCs w:val="20"/>
          <w:lang w:eastAsia="en-US"/>
        </w:rPr>
        <w:t>Atitudes</w:t>
      </w:r>
    </w:p>
    <w:p w14:paraId="173FC36D" w14:textId="77777777" w:rsidR="00871E3B" w:rsidRPr="00682EAF" w:rsidRDefault="00257DF1" w:rsidP="002202B4">
      <w:pPr>
        <w:ind w:firstLine="0"/>
        <w:rPr>
          <w:rFonts w:cs="Arial"/>
          <w:b/>
        </w:rPr>
      </w:pPr>
      <w:r>
        <w:rPr>
          <w:noProof/>
        </w:rPr>
        <w:drawing>
          <wp:inline distT="0" distB="0" distL="0" distR="0" wp14:anchorId="29F18E43" wp14:editId="32EB613B">
            <wp:extent cx="5756275" cy="2870617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CB5005C1-970B-324A-AE22-A3C02116E6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9F9791" w14:textId="77777777" w:rsidR="00D91C15" w:rsidRPr="00D91C15" w:rsidRDefault="00D91C15" w:rsidP="00A75C15">
      <w:pPr>
        <w:spacing w:after="120"/>
        <w:ind w:firstLine="0"/>
        <w:jc w:val="center"/>
        <w:rPr>
          <w:rFonts w:cs="Arial"/>
          <w:b/>
        </w:rPr>
      </w:pPr>
      <w:r w:rsidRPr="00D91C15">
        <w:rPr>
          <w:rFonts w:eastAsiaTheme="minorHAnsi" w:cs="Arial"/>
          <w:color w:val="00000A"/>
          <w:sz w:val="20"/>
          <w:szCs w:val="20"/>
          <w:lang w:eastAsia="en-US"/>
        </w:rPr>
        <w:t>Fonte: elaborado pelos autores com base nos dados da pesquisa.</w:t>
      </w:r>
    </w:p>
    <w:p w14:paraId="038650B9" w14:textId="384927D8" w:rsidR="008D292B" w:rsidRDefault="008D292B" w:rsidP="008D292B">
      <w:pPr>
        <w:rPr>
          <w:rFonts w:cs="Arial"/>
        </w:rPr>
      </w:pPr>
      <w:r>
        <w:rPr>
          <w:rFonts w:cs="Arial"/>
        </w:rPr>
        <w:t>Como evidenciado, muitos dos atributos de competência inicialmente apontados como fatores de melhoria foram acessados pelos al</w:t>
      </w:r>
      <w:r w:rsidR="00364882">
        <w:rPr>
          <w:rFonts w:cs="Arial"/>
        </w:rPr>
        <w:t>unos durante o jogo. Dessa forma, o jogo</w:t>
      </w:r>
      <w:r w:rsidR="00DC0384">
        <w:rPr>
          <w:rFonts w:cs="Arial"/>
        </w:rPr>
        <w:t xml:space="preserve"> </w:t>
      </w:r>
      <w:r w:rsidR="00364882">
        <w:rPr>
          <w:rFonts w:cs="Arial"/>
        </w:rPr>
        <w:t>se mostrou uma ferramenta importante para o desenvolvimento dos alunos e de suas competências, permitindo a evolução de seus “estados” e materializando-se como um instrumento para o aperfeiçoamento de seus conhecimentos, habilidades e atitudes</w:t>
      </w:r>
      <w:r>
        <w:rPr>
          <w:rFonts w:cs="Arial"/>
        </w:rPr>
        <w:t xml:space="preserve"> </w:t>
      </w:r>
      <w:r w:rsidRPr="002C7EE2">
        <w:rPr>
          <w:rFonts w:cs="Arial"/>
        </w:rPr>
        <w:t>(FLEURY; FLEURY, 2002).</w:t>
      </w:r>
    </w:p>
    <w:p w14:paraId="17268E74" w14:textId="77777777" w:rsidR="00085B3F" w:rsidRPr="00682EAF" w:rsidRDefault="00085B3F" w:rsidP="005A2C31">
      <w:pPr>
        <w:ind w:firstLine="0"/>
        <w:rPr>
          <w:rFonts w:cs="Arial"/>
          <w:b/>
        </w:rPr>
      </w:pPr>
    </w:p>
    <w:p w14:paraId="3D33C5D7" w14:textId="77777777" w:rsidR="00BF1BCB" w:rsidRPr="0009701F" w:rsidRDefault="0025155C" w:rsidP="0009701F">
      <w:pPr>
        <w:spacing w:after="120"/>
        <w:ind w:firstLine="0"/>
        <w:rPr>
          <w:rFonts w:cs="Arial"/>
          <w:b/>
        </w:rPr>
      </w:pPr>
      <w:r w:rsidRPr="00682EAF">
        <w:rPr>
          <w:rFonts w:cs="Arial"/>
          <w:b/>
        </w:rPr>
        <w:t>CONSIDERAÇÕES FINAIS</w:t>
      </w:r>
    </w:p>
    <w:p w14:paraId="0639B0CF" w14:textId="77777777" w:rsidR="00967D0D" w:rsidRPr="00022D19" w:rsidRDefault="00967D0D" w:rsidP="00967D0D">
      <w:pPr>
        <w:rPr>
          <w:rFonts w:cs="Arial"/>
        </w:rPr>
      </w:pPr>
      <w:r>
        <w:rPr>
          <w:rFonts w:cs="Arial"/>
        </w:rPr>
        <w:t>O presente trabalho teve por objetivo</w:t>
      </w:r>
      <w:r w:rsidR="00D91C15">
        <w:rPr>
          <w:rFonts w:cs="Arial"/>
        </w:rPr>
        <w:t xml:space="preserve"> </w:t>
      </w:r>
      <w:r>
        <w:rPr>
          <w:rFonts w:cs="Arial"/>
        </w:rPr>
        <w:t>compreender quais são os atributos de competência mais utilizados pelos participantes de simulações empresariais durante o processo de tomada de decisão.</w:t>
      </w:r>
    </w:p>
    <w:p w14:paraId="43D2ACA8" w14:textId="402B1ADE" w:rsidR="00967D0D" w:rsidRDefault="00967D0D" w:rsidP="00967D0D">
      <w:pPr>
        <w:rPr>
          <w:rFonts w:cs="Arial"/>
        </w:rPr>
      </w:pPr>
      <w:r>
        <w:rPr>
          <w:rFonts w:cs="Arial"/>
        </w:rPr>
        <w:lastRenderedPageBreak/>
        <w:t xml:space="preserve">Apesar de a instituição </w:t>
      </w:r>
      <w:r w:rsidR="00DC0384">
        <w:rPr>
          <w:rFonts w:cs="Arial"/>
        </w:rPr>
        <w:t xml:space="preserve">de ensino em que foi utilizado o jogo </w:t>
      </w:r>
      <w:r>
        <w:rPr>
          <w:rFonts w:cs="Arial"/>
        </w:rPr>
        <w:t>não contar com uma disciplina de jogos e simulações empresariais em sua grade</w:t>
      </w:r>
      <w:r w:rsidR="00DC0384">
        <w:rPr>
          <w:rFonts w:cs="Arial"/>
        </w:rPr>
        <w:t xml:space="preserve"> curricular</w:t>
      </w:r>
      <w:r>
        <w:rPr>
          <w:rFonts w:cs="Arial"/>
        </w:rPr>
        <w:t xml:space="preserve">, observou-se, a partir </w:t>
      </w:r>
      <w:r w:rsidR="00DC0384">
        <w:rPr>
          <w:rFonts w:cs="Arial"/>
        </w:rPr>
        <w:t xml:space="preserve">dos dados obtidos, </w:t>
      </w:r>
      <w:r>
        <w:rPr>
          <w:rFonts w:cs="Arial"/>
        </w:rPr>
        <w:t>que</w:t>
      </w:r>
      <w:r w:rsidR="00DC0384">
        <w:rPr>
          <w:rFonts w:cs="Arial"/>
        </w:rPr>
        <w:t xml:space="preserve"> a dinâmica realizada com</w:t>
      </w:r>
      <w:r>
        <w:rPr>
          <w:rFonts w:cs="Arial"/>
        </w:rPr>
        <w:t xml:space="preserve"> os alunos </w:t>
      </w:r>
      <w:r w:rsidR="00DC0384">
        <w:rPr>
          <w:rFonts w:cs="Arial"/>
        </w:rPr>
        <w:t xml:space="preserve">levou-os a </w:t>
      </w:r>
      <w:r>
        <w:rPr>
          <w:rFonts w:cs="Arial"/>
        </w:rPr>
        <w:t>refletir</w:t>
      </w:r>
      <w:r w:rsidR="00DC0384">
        <w:rPr>
          <w:rFonts w:cs="Arial"/>
        </w:rPr>
        <w:t xml:space="preserve">, </w:t>
      </w:r>
      <w:r>
        <w:rPr>
          <w:rFonts w:cs="Arial"/>
        </w:rPr>
        <w:t>de forma mais abrangente e integrada</w:t>
      </w:r>
      <w:r w:rsidR="00DC0384">
        <w:rPr>
          <w:rFonts w:cs="Arial"/>
        </w:rPr>
        <w:t>,</w:t>
      </w:r>
      <w:r>
        <w:rPr>
          <w:rFonts w:cs="Arial"/>
        </w:rPr>
        <w:t xml:space="preserve"> sobre os pap</w:t>
      </w:r>
      <w:r w:rsidR="00DC0384">
        <w:rPr>
          <w:rFonts w:cs="Arial"/>
        </w:rPr>
        <w:t>é</w:t>
      </w:r>
      <w:r>
        <w:rPr>
          <w:rFonts w:cs="Arial"/>
        </w:rPr>
        <w:t xml:space="preserve">is </w:t>
      </w:r>
      <w:r w:rsidR="00DC0384">
        <w:rPr>
          <w:rFonts w:cs="Arial"/>
        </w:rPr>
        <w:t xml:space="preserve">que podem desempenhar </w:t>
      </w:r>
      <w:r>
        <w:rPr>
          <w:rFonts w:cs="Arial"/>
        </w:rPr>
        <w:t xml:space="preserve">na gestão empresarial, além de </w:t>
      </w:r>
      <w:r w:rsidR="00DC0384">
        <w:rPr>
          <w:rFonts w:cs="Arial"/>
        </w:rPr>
        <w:t xml:space="preserve">motivá-los a aprender mais </w:t>
      </w:r>
      <w:r>
        <w:rPr>
          <w:rFonts w:cs="Arial"/>
        </w:rPr>
        <w:t xml:space="preserve">e </w:t>
      </w:r>
      <w:r w:rsidR="00DC0384">
        <w:rPr>
          <w:rFonts w:cs="Arial"/>
        </w:rPr>
        <w:t xml:space="preserve">a </w:t>
      </w:r>
      <w:r>
        <w:rPr>
          <w:rFonts w:cs="Arial"/>
        </w:rPr>
        <w:t>desenvolv</w:t>
      </w:r>
      <w:r w:rsidR="00DC0384">
        <w:rPr>
          <w:rFonts w:cs="Arial"/>
        </w:rPr>
        <w:t>erem</w:t>
      </w:r>
      <w:r>
        <w:rPr>
          <w:rFonts w:cs="Arial"/>
        </w:rPr>
        <w:t xml:space="preserve"> habilidades e atitudes</w:t>
      </w:r>
      <w:r w:rsidR="00DC0384">
        <w:rPr>
          <w:rFonts w:cs="Arial"/>
        </w:rPr>
        <w:t xml:space="preserve"> relacionadas ao funcionamento do </w:t>
      </w:r>
      <w:r>
        <w:rPr>
          <w:rFonts w:cs="Arial"/>
        </w:rPr>
        <w:t xml:space="preserve">mercado, tornando o processo de tomada de decisão mais claro </w:t>
      </w:r>
      <w:r w:rsidR="00DC0384">
        <w:rPr>
          <w:rFonts w:cs="Arial"/>
        </w:rPr>
        <w:t>para eles</w:t>
      </w:r>
      <w:r>
        <w:rPr>
          <w:rFonts w:cs="Arial"/>
        </w:rPr>
        <w:t xml:space="preserve">. </w:t>
      </w:r>
    </w:p>
    <w:p w14:paraId="04366FFE" w14:textId="7B4946B5" w:rsidR="00967D0D" w:rsidRDefault="00967D0D" w:rsidP="00967D0D">
      <w:pPr>
        <w:rPr>
          <w:rFonts w:cs="Arial"/>
        </w:rPr>
      </w:pPr>
      <w:r w:rsidRPr="004771E5">
        <w:rPr>
          <w:rFonts w:cs="Arial"/>
        </w:rPr>
        <w:t xml:space="preserve">Quanto às percepções dos participantes </w:t>
      </w:r>
      <w:r w:rsidR="00DC0384">
        <w:rPr>
          <w:rFonts w:cs="Arial"/>
        </w:rPr>
        <w:t>sobre o uso de</w:t>
      </w:r>
      <w:r w:rsidRPr="004771E5">
        <w:rPr>
          <w:rFonts w:cs="Arial"/>
        </w:rPr>
        <w:t xml:space="preserve"> jogos como uma ferramenta para o aprendizado, apurou-se que todos os alunos compreenderam o objetivo principal da simulação </w:t>
      </w:r>
      <w:r w:rsidR="00DC0384">
        <w:rPr>
          <w:rFonts w:cs="Arial"/>
        </w:rPr>
        <w:t xml:space="preserve">da qual participaram, que consistiu em tornar </w:t>
      </w:r>
      <w:r w:rsidRPr="004771E5">
        <w:t>poss</w:t>
      </w:r>
      <w:r w:rsidR="00DC0384">
        <w:t>ível</w:t>
      </w:r>
      <w:r w:rsidRPr="004771E5">
        <w:t xml:space="preserve"> a viv</w:t>
      </w:r>
      <w:r w:rsidR="00DC0384">
        <w:t>ê</w:t>
      </w:r>
      <w:r w:rsidRPr="004771E5">
        <w:t>ncia do processo gerencial</w:t>
      </w:r>
      <w:r w:rsidRPr="004771E5">
        <w:rPr>
          <w:rFonts w:cs="Arial"/>
        </w:rPr>
        <w:t xml:space="preserve"> sem que suas decisões incorressem em consequências reais.</w:t>
      </w:r>
    </w:p>
    <w:p w14:paraId="37731746" w14:textId="452A7F45" w:rsidR="0009701F" w:rsidRDefault="00735D14" w:rsidP="00735D14">
      <w:pPr>
        <w:rPr>
          <w:rFonts w:cs="Arial"/>
        </w:rPr>
      </w:pPr>
      <w:r>
        <w:rPr>
          <w:rFonts w:cs="Arial"/>
        </w:rPr>
        <w:t xml:space="preserve">A partir da análise dos atributos de competências acessados pelos alunos durante a experiência com o jogo, foi possível compreender quais foram </w:t>
      </w:r>
      <w:r w:rsidR="00DC0384">
        <w:rPr>
          <w:rFonts w:cs="Arial"/>
        </w:rPr>
        <w:t xml:space="preserve">as </w:t>
      </w:r>
      <w:r>
        <w:rPr>
          <w:rFonts w:cs="Arial"/>
        </w:rPr>
        <w:t>mais utilizados pelos participantes durante o processo de tomada de decisão. Na dimensão Conhecimento, destacaram-se os “M</w:t>
      </w:r>
      <w:r w:rsidR="00AF333A">
        <w:rPr>
          <w:rFonts w:cs="Arial"/>
        </w:rPr>
        <w:t>étodos, técnicas e ferramentas de análise</w:t>
      </w:r>
      <w:r>
        <w:rPr>
          <w:rFonts w:cs="Arial"/>
        </w:rPr>
        <w:t>”</w:t>
      </w:r>
      <w:r w:rsidR="00AF333A">
        <w:rPr>
          <w:rFonts w:cs="Arial"/>
        </w:rPr>
        <w:t>, segui</w:t>
      </w:r>
      <w:r w:rsidR="00300466">
        <w:rPr>
          <w:rFonts w:cs="Arial"/>
        </w:rPr>
        <w:t>dos por conhecimento acerca da “O</w:t>
      </w:r>
      <w:r w:rsidR="00AF333A">
        <w:rPr>
          <w:rFonts w:cs="Arial"/>
        </w:rPr>
        <w:t>rganização de informações</w:t>
      </w:r>
      <w:r w:rsidR="00300466">
        <w:rPr>
          <w:rFonts w:cs="Arial"/>
        </w:rPr>
        <w:t>” e “E</w:t>
      </w:r>
      <w:r w:rsidR="00AF333A">
        <w:rPr>
          <w:rFonts w:cs="Arial"/>
        </w:rPr>
        <w:t>strutura organizacional</w:t>
      </w:r>
      <w:r w:rsidR="00300466">
        <w:rPr>
          <w:rFonts w:cs="Arial"/>
        </w:rPr>
        <w:t>”</w:t>
      </w:r>
      <w:r w:rsidR="00AF333A">
        <w:rPr>
          <w:rFonts w:cs="Arial"/>
        </w:rPr>
        <w:t>.</w:t>
      </w:r>
      <w:r w:rsidR="0009701F">
        <w:rPr>
          <w:rFonts w:cs="Arial"/>
        </w:rPr>
        <w:t xml:space="preserve"> </w:t>
      </w:r>
      <w:r w:rsidR="00AF333A">
        <w:rPr>
          <w:rFonts w:cs="Arial"/>
        </w:rPr>
        <w:t>No que tange aos atributos concernentes às</w:t>
      </w:r>
      <w:r w:rsidR="00300466">
        <w:rPr>
          <w:rFonts w:cs="Arial"/>
        </w:rPr>
        <w:t xml:space="preserve"> habilidades, salientaram-se o “P</w:t>
      </w:r>
      <w:r w:rsidR="00AF333A">
        <w:rPr>
          <w:rFonts w:cs="Arial"/>
        </w:rPr>
        <w:t>ensamento analítico</w:t>
      </w:r>
      <w:r w:rsidR="00300466">
        <w:rPr>
          <w:rFonts w:cs="Arial"/>
        </w:rPr>
        <w:t>”</w:t>
      </w:r>
      <w:r w:rsidR="00AF333A">
        <w:rPr>
          <w:rFonts w:cs="Arial"/>
        </w:rPr>
        <w:t xml:space="preserve"> e </w:t>
      </w:r>
      <w:r w:rsidR="00300466">
        <w:rPr>
          <w:rFonts w:cs="Arial"/>
        </w:rPr>
        <w:t>o “R</w:t>
      </w:r>
      <w:r w:rsidR="00AF333A">
        <w:rPr>
          <w:rFonts w:cs="Arial"/>
        </w:rPr>
        <w:t>aciocínio estratégico</w:t>
      </w:r>
      <w:r w:rsidR="00300466">
        <w:rPr>
          <w:rFonts w:cs="Arial"/>
        </w:rPr>
        <w:t>”</w:t>
      </w:r>
      <w:r w:rsidR="00AF333A">
        <w:rPr>
          <w:rFonts w:cs="Arial"/>
        </w:rPr>
        <w:t xml:space="preserve">, seguidos por </w:t>
      </w:r>
      <w:r w:rsidR="00300466">
        <w:rPr>
          <w:rFonts w:cs="Arial"/>
        </w:rPr>
        <w:t>“R</w:t>
      </w:r>
      <w:r w:rsidR="0009701F">
        <w:rPr>
          <w:rFonts w:cs="Arial"/>
        </w:rPr>
        <w:t>aciocínio lógico</w:t>
      </w:r>
      <w:r w:rsidR="00300466">
        <w:rPr>
          <w:rFonts w:cs="Arial"/>
        </w:rPr>
        <w:t>”</w:t>
      </w:r>
      <w:r w:rsidR="0009701F">
        <w:rPr>
          <w:rFonts w:cs="Arial"/>
        </w:rPr>
        <w:t xml:space="preserve">, </w:t>
      </w:r>
      <w:r w:rsidR="00300466">
        <w:rPr>
          <w:rFonts w:cs="Arial"/>
        </w:rPr>
        <w:t>“I</w:t>
      </w:r>
      <w:r w:rsidR="0009701F">
        <w:rPr>
          <w:rFonts w:cs="Arial"/>
        </w:rPr>
        <w:t>ntuição</w:t>
      </w:r>
      <w:r w:rsidR="00300466">
        <w:rPr>
          <w:rFonts w:cs="Arial"/>
        </w:rPr>
        <w:t>”</w:t>
      </w:r>
      <w:r w:rsidR="0009701F">
        <w:rPr>
          <w:rFonts w:cs="Arial"/>
        </w:rPr>
        <w:t xml:space="preserve"> e </w:t>
      </w:r>
      <w:r w:rsidR="00300466">
        <w:rPr>
          <w:rFonts w:cs="Arial"/>
        </w:rPr>
        <w:t>“C</w:t>
      </w:r>
      <w:r w:rsidR="0009701F">
        <w:rPr>
          <w:rFonts w:cs="Arial"/>
        </w:rPr>
        <w:t>apacidade de extração de dados relevantes</w:t>
      </w:r>
      <w:r w:rsidR="00300466">
        <w:rPr>
          <w:rFonts w:cs="Arial"/>
        </w:rPr>
        <w:t>”</w:t>
      </w:r>
      <w:r w:rsidR="0009701F">
        <w:rPr>
          <w:rFonts w:cs="Arial"/>
        </w:rPr>
        <w:t xml:space="preserve">. No tocante aos atributos relativos </w:t>
      </w:r>
      <w:r w:rsidR="00300466">
        <w:rPr>
          <w:rFonts w:cs="Arial"/>
        </w:rPr>
        <w:t>às atitudes, evidenciaram-se a “C</w:t>
      </w:r>
      <w:r w:rsidR="0009701F">
        <w:rPr>
          <w:rFonts w:cs="Arial"/>
        </w:rPr>
        <w:t>uriosidade</w:t>
      </w:r>
      <w:r w:rsidR="00300466">
        <w:rPr>
          <w:rFonts w:cs="Arial"/>
        </w:rPr>
        <w:t>”, a “C</w:t>
      </w:r>
      <w:r w:rsidR="0009701F">
        <w:rPr>
          <w:rFonts w:cs="Arial"/>
        </w:rPr>
        <w:t>riatividade</w:t>
      </w:r>
      <w:r w:rsidR="00300466">
        <w:rPr>
          <w:rFonts w:cs="Arial"/>
        </w:rPr>
        <w:t>”, a “P</w:t>
      </w:r>
      <w:r w:rsidR="0009701F">
        <w:rPr>
          <w:rFonts w:cs="Arial"/>
        </w:rPr>
        <w:t>erseverança</w:t>
      </w:r>
      <w:r w:rsidR="00300466">
        <w:rPr>
          <w:rFonts w:cs="Arial"/>
        </w:rPr>
        <w:t>”</w:t>
      </w:r>
      <w:r w:rsidR="0009701F">
        <w:rPr>
          <w:rFonts w:cs="Arial"/>
        </w:rPr>
        <w:t xml:space="preserve"> e a </w:t>
      </w:r>
      <w:r w:rsidR="00300466">
        <w:rPr>
          <w:rFonts w:cs="Arial"/>
        </w:rPr>
        <w:t>“O</w:t>
      </w:r>
      <w:r w:rsidR="0009701F">
        <w:rPr>
          <w:rFonts w:cs="Arial"/>
        </w:rPr>
        <w:t>bservação</w:t>
      </w:r>
      <w:r w:rsidR="00300466">
        <w:rPr>
          <w:rFonts w:cs="Arial"/>
        </w:rPr>
        <w:t>”</w:t>
      </w:r>
      <w:r w:rsidR="0009701F">
        <w:rPr>
          <w:rFonts w:cs="Arial"/>
        </w:rPr>
        <w:t xml:space="preserve">. </w:t>
      </w:r>
    </w:p>
    <w:p w14:paraId="5550B484" w14:textId="77777777" w:rsidR="00735D14" w:rsidRDefault="00300466" w:rsidP="0009701F">
      <w:pPr>
        <w:rPr>
          <w:rFonts w:cs="Arial"/>
        </w:rPr>
      </w:pPr>
      <w:r>
        <w:rPr>
          <w:rFonts w:cs="Arial"/>
        </w:rPr>
        <w:t>Dessa forma, muitos dos atributos de competência inicialmente apontados como fatores de melhoria foram acessados pelos alunos durante o jogo, o que demonstra a efetividade do jogo como um instrumento importante para o desenvolvimento dos alunos e de suas competências, permitindo a evolução de seus “estados” e materializando-se como um instrumento para o aperfeiçoamento de seus conhecimentos, habilidades e atitudes</w:t>
      </w:r>
    </w:p>
    <w:p w14:paraId="142A0EDD" w14:textId="53B16B88" w:rsidR="005A0E8D" w:rsidRDefault="00C75AD5" w:rsidP="00E366D4">
      <w:pPr>
        <w:rPr>
          <w:rFonts w:cs="Arial"/>
        </w:rPr>
      </w:pPr>
      <w:r w:rsidRPr="00682EAF">
        <w:rPr>
          <w:rFonts w:cs="Arial"/>
        </w:rPr>
        <w:t xml:space="preserve">Como limitações deste estudo, apontam-se a utilização de um grupo de pequeno de </w:t>
      </w:r>
      <w:r w:rsidR="00161133">
        <w:rPr>
          <w:rFonts w:cs="Arial"/>
        </w:rPr>
        <w:t>participantes</w:t>
      </w:r>
      <w:r w:rsidRPr="00682EAF">
        <w:rPr>
          <w:rFonts w:cs="Arial"/>
        </w:rPr>
        <w:t>, que</w:t>
      </w:r>
      <w:r w:rsidR="00521317" w:rsidRPr="00682EAF">
        <w:rPr>
          <w:rFonts w:cs="Arial"/>
        </w:rPr>
        <w:t>, apesar de representar</w:t>
      </w:r>
      <w:r w:rsidRPr="00682EAF">
        <w:rPr>
          <w:rFonts w:cs="Arial"/>
        </w:rPr>
        <w:t xml:space="preserve"> o universo de estudantes de ensino técnico, </w:t>
      </w:r>
      <w:r w:rsidR="00161133">
        <w:rPr>
          <w:rFonts w:cs="Arial"/>
        </w:rPr>
        <w:t>poderia ser mais amplo. Outro ponto encontra-se n</w:t>
      </w:r>
      <w:r w:rsidR="005A0E8D" w:rsidRPr="00682EAF">
        <w:rPr>
          <w:rFonts w:cs="Arial"/>
        </w:rPr>
        <w:t>o fato de que as informações obtidas sobre a amostra estudada foram resultantes d</w:t>
      </w:r>
      <w:r w:rsidR="00161133">
        <w:rPr>
          <w:rFonts w:cs="Arial"/>
        </w:rPr>
        <w:t>e um processo de a</w:t>
      </w:r>
      <w:r w:rsidR="00E366D4">
        <w:rPr>
          <w:rFonts w:cs="Arial"/>
        </w:rPr>
        <w:t>utoavaliação, o que pode promover</w:t>
      </w:r>
      <w:r w:rsidR="00161133">
        <w:rPr>
          <w:rFonts w:cs="Arial"/>
        </w:rPr>
        <w:t xml:space="preserve"> resultados distorcidos, visto que as avaliações são unilaterais.</w:t>
      </w:r>
      <w:r w:rsidR="00E366D4">
        <w:rPr>
          <w:rFonts w:cs="Arial"/>
        </w:rPr>
        <w:t xml:space="preserve"> Além disso, as jogadas fo</w:t>
      </w:r>
      <w:r w:rsidR="00DC0384">
        <w:rPr>
          <w:rFonts w:cs="Arial"/>
        </w:rPr>
        <w:t xml:space="preserve">ram </w:t>
      </w:r>
      <w:r w:rsidR="00E366D4">
        <w:rPr>
          <w:rFonts w:cs="Arial"/>
        </w:rPr>
        <w:t xml:space="preserve">feitas individualmente a fim de promover uma experiência mais precisa para cada participante e acessar suas percepções acerca do jogo de forma mais direta. </w:t>
      </w:r>
    </w:p>
    <w:p w14:paraId="2C88DEC5" w14:textId="25768B66" w:rsidR="00C75AD5" w:rsidRPr="00682EAF" w:rsidRDefault="00E366D4" w:rsidP="00E366D4">
      <w:pPr>
        <w:rPr>
          <w:rFonts w:cs="Arial"/>
        </w:rPr>
      </w:pPr>
      <w:r>
        <w:rPr>
          <w:rFonts w:cs="Arial"/>
        </w:rPr>
        <w:t>P</w:t>
      </w:r>
      <w:r w:rsidR="005A0E8D" w:rsidRPr="00682EAF">
        <w:rPr>
          <w:rFonts w:cs="Arial"/>
        </w:rPr>
        <w:t xml:space="preserve">ara </w:t>
      </w:r>
      <w:r w:rsidR="00DC0384" w:rsidRPr="00682EAF">
        <w:rPr>
          <w:rFonts w:cs="Arial"/>
        </w:rPr>
        <w:t>estudos futuros</w:t>
      </w:r>
      <w:r w:rsidR="000C5357">
        <w:rPr>
          <w:rFonts w:cs="Arial"/>
        </w:rPr>
        <w:t>,</w:t>
      </w:r>
      <w:r w:rsidR="00DC0384" w:rsidRPr="00682EAF">
        <w:rPr>
          <w:rFonts w:cs="Arial"/>
        </w:rPr>
        <w:t xml:space="preserve"> </w:t>
      </w:r>
      <w:r w:rsidR="005A0E8D" w:rsidRPr="00682EAF">
        <w:rPr>
          <w:rFonts w:cs="Arial"/>
        </w:rPr>
        <w:t xml:space="preserve">sugere-se </w:t>
      </w:r>
      <w:r w:rsidR="00DC0384">
        <w:rPr>
          <w:rFonts w:cs="Arial"/>
        </w:rPr>
        <w:t xml:space="preserve">o uso de </w:t>
      </w:r>
      <w:r w:rsidR="005A0E8D" w:rsidRPr="00682EAF">
        <w:rPr>
          <w:rFonts w:cs="Arial"/>
        </w:rPr>
        <w:t>amostras mai</w:t>
      </w:r>
      <w:r w:rsidR="00DC0384">
        <w:rPr>
          <w:rFonts w:cs="Arial"/>
        </w:rPr>
        <w:t>ore</w:t>
      </w:r>
      <w:r w:rsidR="005A0E8D" w:rsidRPr="00682EAF">
        <w:rPr>
          <w:rFonts w:cs="Arial"/>
        </w:rPr>
        <w:t xml:space="preserve">s </w:t>
      </w:r>
      <w:r w:rsidR="00373BF9">
        <w:rPr>
          <w:rFonts w:cs="Arial"/>
        </w:rPr>
        <w:t xml:space="preserve">e </w:t>
      </w:r>
      <w:r w:rsidR="00DC0384">
        <w:rPr>
          <w:rFonts w:cs="Arial"/>
        </w:rPr>
        <w:t xml:space="preserve">em </w:t>
      </w:r>
      <w:r w:rsidR="00373BF9">
        <w:rPr>
          <w:rFonts w:cs="Arial"/>
        </w:rPr>
        <w:t xml:space="preserve">outros </w:t>
      </w:r>
      <w:r w:rsidR="00DC0384">
        <w:rPr>
          <w:rFonts w:cs="Arial"/>
        </w:rPr>
        <w:t xml:space="preserve">cursos ou </w:t>
      </w:r>
      <w:r w:rsidR="00373BF9">
        <w:rPr>
          <w:rFonts w:cs="Arial"/>
        </w:rPr>
        <w:t xml:space="preserve">níveis educacionais, buscando mapear os atributos de competências mais utilizados no processo de tomada de decisão destes grupos. Além disso, podem </w:t>
      </w:r>
      <w:r w:rsidR="00DC0384">
        <w:rPr>
          <w:rFonts w:cs="Arial"/>
        </w:rPr>
        <w:t xml:space="preserve">ser </w:t>
      </w:r>
      <w:r w:rsidR="00373BF9">
        <w:rPr>
          <w:rFonts w:cs="Arial"/>
        </w:rPr>
        <w:t>promov</w:t>
      </w:r>
      <w:r w:rsidR="00DC0384">
        <w:rPr>
          <w:rFonts w:cs="Arial"/>
        </w:rPr>
        <w:t>idas</w:t>
      </w:r>
      <w:r w:rsidR="00373BF9">
        <w:rPr>
          <w:rFonts w:cs="Arial"/>
        </w:rPr>
        <w:t xml:space="preserve"> simulações em grupo a </w:t>
      </w:r>
      <w:r w:rsidR="00373BF9">
        <w:rPr>
          <w:rFonts w:cs="Arial"/>
        </w:rPr>
        <w:lastRenderedPageBreak/>
        <w:t>fim de mitigar as questões causadas pelos processos de autoavaliação. Desta forma, os alunos poderão avaliar uns aos outros dentro de seus respectivos grupos possibilitando o mapeamento das competências individuais e a compreensão de como estas características influ</w:t>
      </w:r>
      <w:r w:rsidR="00DC0384">
        <w:rPr>
          <w:rFonts w:cs="Arial"/>
        </w:rPr>
        <w:t xml:space="preserve">enciam </w:t>
      </w:r>
      <w:r w:rsidR="00373BF9">
        <w:rPr>
          <w:rFonts w:cs="Arial"/>
        </w:rPr>
        <w:t>a tomada de decisão.</w:t>
      </w:r>
    </w:p>
    <w:p w14:paraId="19D70509" w14:textId="77777777" w:rsidR="005A0E8D" w:rsidRPr="00682EAF" w:rsidRDefault="005A0E8D" w:rsidP="005A0E8D">
      <w:pPr>
        <w:rPr>
          <w:rFonts w:cs="Arial"/>
        </w:rPr>
      </w:pPr>
    </w:p>
    <w:p w14:paraId="68E8D919" w14:textId="77777777" w:rsidR="0025155C" w:rsidRPr="00383F72" w:rsidRDefault="0025155C" w:rsidP="007140FD">
      <w:pPr>
        <w:spacing w:after="120"/>
        <w:ind w:firstLine="0"/>
        <w:rPr>
          <w:rFonts w:cs="Arial"/>
          <w:b/>
        </w:rPr>
      </w:pPr>
      <w:r w:rsidRPr="00383F72">
        <w:rPr>
          <w:rFonts w:cs="Arial"/>
          <w:b/>
        </w:rPr>
        <w:t>REFERÊNCIAS</w:t>
      </w:r>
    </w:p>
    <w:p w14:paraId="47DD8214" w14:textId="77777777" w:rsidR="00D72117" w:rsidRDefault="00D72117" w:rsidP="00523E92">
      <w:pPr>
        <w:spacing w:after="120" w:line="240" w:lineRule="auto"/>
        <w:ind w:firstLine="0"/>
        <w:rPr>
          <w:rFonts w:cs="Arial"/>
          <w:shd w:val="clear" w:color="auto" w:fill="FFFFFF"/>
        </w:rPr>
      </w:pPr>
      <w:r w:rsidRPr="00D72117">
        <w:rPr>
          <w:rFonts w:cs="Arial"/>
          <w:shd w:val="clear" w:color="auto" w:fill="FFFFFF"/>
        </w:rPr>
        <w:t>AMARAL, R. M. Desenvolvimento e aplicação</w:t>
      </w:r>
      <w:r>
        <w:rPr>
          <w:rFonts w:cs="Arial"/>
          <w:shd w:val="clear" w:color="auto" w:fill="FFFFFF"/>
        </w:rPr>
        <w:t xml:space="preserve"> de um método para o mapeamento </w:t>
      </w:r>
      <w:r w:rsidRPr="00D72117">
        <w:rPr>
          <w:rFonts w:cs="Arial"/>
          <w:shd w:val="clear" w:color="auto" w:fill="FFFFFF"/>
        </w:rPr>
        <w:t>de competências em inteligência competitiva. 2006. 209 f. Dissertação</w:t>
      </w:r>
      <w:r>
        <w:rPr>
          <w:rFonts w:cs="Arial"/>
          <w:shd w:val="clear" w:color="auto" w:fill="FFFFFF"/>
        </w:rPr>
        <w:t xml:space="preserve"> </w:t>
      </w:r>
      <w:r w:rsidRPr="00D72117">
        <w:rPr>
          <w:rFonts w:cs="Arial"/>
          <w:shd w:val="clear" w:color="auto" w:fill="FFFFFF"/>
        </w:rPr>
        <w:t>(Mestrado em Engenharia de Produção)</w:t>
      </w:r>
      <w:r>
        <w:rPr>
          <w:rFonts w:cs="Arial"/>
          <w:shd w:val="clear" w:color="auto" w:fill="FFFFFF"/>
        </w:rPr>
        <w:t xml:space="preserve"> </w:t>
      </w:r>
      <w:r w:rsidRPr="00D72117">
        <w:rPr>
          <w:rFonts w:cs="Arial"/>
          <w:shd w:val="clear" w:color="auto" w:fill="FFFFFF"/>
        </w:rPr>
        <w:t>– Universidade Federal de</w:t>
      </w:r>
      <w:r>
        <w:rPr>
          <w:rFonts w:cs="Arial"/>
          <w:shd w:val="clear" w:color="auto" w:fill="FFFFFF"/>
        </w:rPr>
        <w:t xml:space="preserve"> </w:t>
      </w:r>
      <w:r w:rsidRPr="00D72117">
        <w:rPr>
          <w:rFonts w:cs="Arial"/>
          <w:shd w:val="clear" w:color="auto" w:fill="FFFFFF"/>
        </w:rPr>
        <w:t xml:space="preserve">São Carlos, São Carlos, 2006. </w:t>
      </w:r>
    </w:p>
    <w:p w14:paraId="17D4059F" w14:textId="77777777" w:rsidR="001F4706" w:rsidRPr="00682EAF" w:rsidRDefault="001F4706" w:rsidP="00523E92">
      <w:pPr>
        <w:spacing w:after="120" w:line="240" w:lineRule="auto"/>
        <w:ind w:firstLine="0"/>
        <w:rPr>
          <w:rFonts w:cs="Arial"/>
          <w:shd w:val="clear" w:color="auto" w:fill="FFFFFF"/>
          <w:lang w:val="en-US"/>
        </w:rPr>
      </w:pPr>
      <w:r w:rsidRPr="00682EAF">
        <w:rPr>
          <w:rFonts w:cs="Arial"/>
          <w:shd w:val="clear" w:color="auto" w:fill="FFFFFF"/>
        </w:rPr>
        <w:t xml:space="preserve">AMARAL, R. M.; GARCIA, L. G.; FARIA, L. I. L.; ALIPRANDINI, D. H. Modelo para o mapeamento de competências em equipes de inteligência competitiva. </w:t>
      </w:r>
      <w:r w:rsidRPr="00682EAF">
        <w:rPr>
          <w:rFonts w:cs="Arial"/>
          <w:b/>
          <w:shd w:val="clear" w:color="auto" w:fill="FFFFFF"/>
          <w:lang w:val="en-US"/>
        </w:rPr>
        <w:t>Ciência da Informação</w:t>
      </w:r>
      <w:r w:rsidRPr="00682EAF">
        <w:rPr>
          <w:rFonts w:cs="Arial"/>
          <w:shd w:val="clear" w:color="auto" w:fill="FFFFFF"/>
          <w:lang w:val="en-US"/>
        </w:rPr>
        <w:t xml:space="preserve">, n. 37, v. 2, p. 7-19. </w:t>
      </w:r>
      <w:r w:rsidRPr="00383F72">
        <w:rPr>
          <w:rFonts w:cs="Arial"/>
          <w:shd w:val="clear" w:color="auto" w:fill="FFFFFF"/>
          <w:lang w:val="en-US"/>
        </w:rPr>
        <w:t>2008.</w:t>
      </w:r>
    </w:p>
    <w:p w14:paraId="3BE85BC2" w14:textId="1CDF5037" w:rsidR="00806143" w:rsidRPr="00682EAF" w:rsidRDefault="00F41936" w:rsidP="00523E92">
      <w:pPr>
        <w:spacing w:after="120" w:line="240" w:lineRule="auto"/>
        <w:ind w:firstLine="0"/>
        <w:rPr>
          <w:rFonts w:cs="Arial"/>
          <w:shd w:val="clear" w:color="auto" w:fill="FFFFFF"/>
          <w:lang w:val="en-US"/>
        </w:rPr>
      </w:pPr>
      <w:r w:rsidRPr="00682EAF">
        <w:rPr>
          <w:rFonts w:cs="Arial"/>
          <w:shd w:val="clear" w:color="auto" w:fill="FFFFFF"/>
          <w:lang w:val="en-US"/>
        </w:rPr>
        <w:t xml:space="preserve">BURCH JUNIOR, J. G. Business </w:t>
      </w:r>
      <w:r w:rsidR="00BE4DC0">
        <w:rPr>
          <w:rFonts w:cs="Arial"/>
          <w:shd w:val="clear" w:color="auto" w:fill="FFFFFF"/>
          <w:lang w:val="en-US"/>
        </w:rPr>
        <w:t>g</w:t>
      </w:r>
      <w:r w:rsidRPr="00682EAF">
        <w:rPr>
          <w:rFonts w:cs="Arial"/>
          <w:shd w:val="clear" w:color="auto" w:fill="FFFFFF"/>
          <w:lang w:val="en-US"/>
        </w:rPr>
        <w:t xml:space="preserve">ames and </w:t>
      </w:r>
      <w:r w:rsidR="00BE4DC0">
        <w:rPr>
          <w:rFonts w:cs="Arial"/>
          <w:shd w:val="clear" w:color="auto" w:fill="FFFFFF"/>
          <w:lang w:val="en-US"/>
        </w:rPr>
        <w:t>s</w:t>
      </w:r>
      <w:r w:rsidRPr="00682EAF">
        <w:rPr>
          <w:rFonts w:cs="Arial"/>
          <w:shd w:val="clear" w:color="auto" w:fill="FFFFFF"/>
          <w:lang w:val="en-US"/>
        </w:rPr>
        <w:t xml:space="preserve">imulation </w:t>
      </w:r>
      <w:r w:rsidR="00BE4DC0">
        <w:rPr>
          <w:rFonts w:cs="Arial"/>
          <w:shd w:val="clear" w:color="auto" w:fill="FFFFFF"/>
          <w:lang w:val="en-US"/>
        </w:rPr>
        <w:t>t</w:t>
      </w:r>
      <w:r w:rsidRPr="00682EAF">
        <w:rPr>
          <w:rFonts w:cs="Arial"/>
          <w:shd w:val="clear" w:color="auto" w:fill="FFFFFF"/>
          <w:lang w:val="en-US"/>
        </w:rPr>
        <w:t xml:space="preserve">echniques. </w:t>
      </w:r>
      <w:r w:rsidRPr="00682EAF">
        <w:rPr>
          <w:rFonts w:cs="Arial"/>
          <w:b/>
          <w:shd w:val="clear" w:color="auto" w:fill="FFFFFF"/>
          <w:lang w:val="en-US"/>
        </w:rPr>
        <w:t>Management Accounting</w:t>
      </w:r>
      <w:r w:rsidRPr="00682EAF">
        <w:rPr>
          <w:rFonts w:cs="Arial"/>
          <w:shd w:val="clear" w:color="auto" w:fill="FFFFFF"/>
          <w:lang w:val="en-US"/>
        </w:rPr>
        <w:t>, n. 51, v. 6, p. 49-52. 1969.</w:t>
      </w:r>
    </w:p>
    <w:p w14:paraId="5C1507C1" w14:textId="77777777" w:rsidR="00303D5D" w:rsidRPr="00682EAF" w:rsidRDefault="00303D5D" w:rsidP="00523E92">
      <w:pPr>
        <w:spacing w:after="120" w:line="240" w:lineRule="auto"/>
        <w:ind w:firstLine="0"/>
        <w:rPr>
          <w:rFonts w:cs="Arial"/>
          <w:shd w:val="clear" w:color="auto" w:fill="FFFFFF"/>
          <w:lang w:val="en-US"/>
        </w:rPr>
      </w:pPr>
      <w:r w:rsidRPr="00682EAF">
        <w:rPr>
          <w:rFonts w:cs="Arial"/>
          <w:shd w:val="clear" w:color="auto" w:fill="FFFFFF"/>
          <w:lang w:val="en-US"/>
        </w:rPr>
        <w:t>FARIA, A.</w:t>
      </w:r>
      <w:r w:rsidR="00567AE4" w:rsidRPr="00682EAF">
        <w:rPr>
          <w:rFonts w:cs="Arial"/>
          <w:shd w:val="clear" w:color="auto" w:fill="FFFFFF"/>
          <w:lang w:val="en-US"/>
        </w:rPr>
        <w:t xml:space="preserve"> </w:t>
      </w:r>
      <w:r w:rsidRPr="00682EAF">
        <w:rPr>
          <w:rFonts w:cs="Arial"/>
          <w:shd w:val="clear" w:color="auto" w:fill="FFFFFF"/>
          <w:lang w:val="en-US"/>
        </w:rPr>
        <w:t xml:space="preserve">J. Business simulation games after thirty years: current usage levels. In: GENTRY, J. W. </w:t>
      </w:r>
      <w:r w:rsidRPr="00682EAF">
        <w:rPr>
          <w:rFonts w:cs="Arial"/>
          <w:b/>
          <w:shd w:val="clear" w:color="auto" w:fill="FFFFFF"/>
          <w:lang w:val="en-US"/>
        </w:rPr>
        <w:t>Guide to Business Gaming and Experiential Learning</w:t>
      </w:r>
      <w:r w:rsidRPr="00682EAF">
        <w:rPr>
          <w:rFonts w:cs="Arial"/>
          <w:shd w:val="clear" w:color="auto" w:fill="FFFFFF"/>
          <w:lang w:val="en-US"/>
        </w:rPr>
        <w:t>, New Jersey: Nichols/GP, 1990, p. 36-47.</w:t>
      </w:r>
    </w:p>
    <w:p w14:paraId="2DD74EA2" w14:textId="3E14FF95" w:rsidR="00A62A93" w:rsidRDefault="00A62A93" w:rsidP="00523E92">
      <w:pPr>
        <w:spacing w:after="120" w:line="240" w:lineRule="auto"/>
        <w:ind w:firstLine="0"/>
        <w:rPr>
          <w:rFonts w:cs="Arial"/>
          <w:shd w:val="clear" w:color="auto" w:fill="FFFFFF"/>
        </w:rPr>
      </w:pPr>
      <w:r w:rsidRPr="00682EAF">
        <w:rPr>
          <w:rFonts w:cs="Arial"/>
          <w:shd w:val="clear" w:color="auto" w:fill="FFFFFF"/>
          <w:lang w:val="en-US"/>
        </w:rPr>
        <w:t xml:space="preserve">FARIA, A. J.; WELLINGTON, W. J. Validating business gaming: </w:t>
      </w:r>
      <w:r w:rsidR="00BE4DC0">
        <w:rPr>
          <w:rFonts w:cs="Arial"/>
          <w:shd w:val="clear" w:color="auto" w:fill="FFFFFF"/>
          <w:lang w:val="en-US"/>
        </w:rPr>
        <w:t>b</w:t>
      </w:r>
      <w:r w:rsidRPr="00682EAF">
        <w:rPr>
          <w:rFonts w:cs="Arial"/>
          <w:shd w:val="clear" w:color="auto" w:fill="FFFFFF"/>
          <w:lang w:val="en-US"/>
        </w:rPr>
        <w:t xml:space="preserve">usiness game conformity with PIMS findings. </w:t>
      </w:r>
      <w:r w:rsidRPr="00383F72">
        <w:rPr>
          <w:rFonts w:cs="Arial"/>
          <w:b/>
          <w:shd w:val="clear" w:color="auto" w:fill="FFFFFF"/>
        </w:rPr>
        <w:t>Simulation Gaming</w:t>
      </w:r>
      <w:r w:rsidRPr="00383F72">
        <w:rPr>
          <w:rFonts w:cs="Arial"/>
          <w:shd w:val="clear" w:color="auto" w:fill="FFFFFF"/>
        </w:rPr>
        <w:t>, v. 36, n. 2</w:t>
      </w:r>
      <w:r w:rsidR="00F41936" w:rsidRPr="00383F72">
        <w:rPr>
          <w:rFonts w:cs="Arial"/>
          <w:shd w:val="clear" w:color="auto" w:fill="FFFFFF"/>
        </w:rPr>
        <w:t>, p. 259-273.</w:t>
      </w:r>
      <w:r w:rsidR="00767F7E" w:rsidRPr="00383F72">
        <w:rPr>
          <w:rFonts w:cs="Arial"/>
          <w:shd w:val="clear" w:color="auto" w:fill="FFFFFF"/>
        </w:rPr>
        <w:t xml:space="preserve"> 2005.</w:t>
      </w:r>
    </w:p>
    <w:p w14:paraId="37F05653" w14:textId="77777777" w:rsidR="00EB4587" w:rsidRPr="00383F72" w:rsidRDefault="00EB4587" w:rsidP="00523E92">
      <w:pPr>
        <w:spacing w:after="120" w:line="240" w:lineRule="auto"/>
        <w:ind w:firstLine="0"/>
        <w:rPr>
          <w:rFonts w:cs="Arial"/>
          <w:shd w:val="clear" w:color="auto" w:fill="FFFFFF"/>
        </w:rPr>
      </w:pPr>
      <w:r w:rsidRPr="00EB4587">
        <w:rPr>
          <w:rFonts w:cs="Arial"/>
          <w:shd w:val="clear" w:color="auto" w:fill="FFFFFF"/>
        </w:rPr>
        <w:t xml:space="preserve">FLEURY, M. T. L.; FLEURY, A. </w:t>
      </w:r>
      <w:r>
        <w:rPr>
          <w:rFonts w:cs="Arial"/>
          <w:shd w:val="clear" w:color="auto" w:fill="FFFFFF"/>
        </w:rPr>
        <w:t xml:space="preserve">C. C. Construindo o conceito de </w:t>
      </w:r>
      <w:r w:rsidRPr="00EB4587">
        <w:rPr>
          <w:rFonts w:cs="Arial"/>
          <w:shd w:val="clear" w:color="auto" w:fill="FFFFFF"/>
        </w:rPr>
        <w:t xml:space="preserve">competências. </w:t>
      </w:r>
      <w:r w:rsidRPr="00EB4587">
        <w:rPr>
          <w:rFonts w:cs="Arial"/>
          <w:b/>
          <w:shd w:val="clear" w:color="auto" w:fill="FFFFFF"/>
        </w:rPr>
        <w:t>Revista de Administração Contemporânea (RAC)</w:t>
      </w:r>
      <w:r w:rsidRPr="00EB4587">
        <w:rPr>
          <w:rFonts w:cs="Arial"/>
          <w:shd w:val="clear" w:color="auto" w:fill="FFFFFF"/>
        </w:rPr>
        <w:t>, v. 5, p.</w:t>
      </w:r>
      <w:r>
        <w:rPr>
          <w:rFonts w:cs="Arial"/>
          <w:shd w:val="clear" w:color="auto" w:fill="FFFFFF"/>
        </w:rPr>
        <w:t xml:space="preserve"> </w:t>
      </w:r>
      <w:r w:rsidRPr="00EB4587">
        <w:rPr>
          <w:rFonts w:cs="Arial"/>
          <w:shd w:val="clear" w:color="auto" w:fill="FFFFFF"/>
        </w:rPr>
        <w:t>183-196, 2002.</w:t>
      </w:r>
    </w:p>
    <w:p w14:paraId="1A2C6DD8" w14:textId="77777777" w:rsidR="00EC5713" w:rsidRPr="00682EAF" w:rsidRDefault="00EC5713" w:rsidP="00523E92">
      <w:pPr>
        <w:spacing w:after="120" w:line="240" w:lineRule="auto"/>
        <w:ind w:firstLine="0"/>
        <w:rPr>
          <w:rFonts w:cs="Arial"/>
          <w:shd w:val="clear" w:color="auto" w:fill="FFFFFF"/>
        </w:rPr>
      </w:pPr>
      <w:r w:rsidRPr="00682EAF">
        <w:rPr>
          <w:rFonts w:cs="Arial"/>
          <w:shd w:val="clear" w:color="auto" w:fill="FFFFFF"/>
        </w:rPr>
        <w:t>GIL, A.C. Como elaborar projetos de pesquisa. 4. ed. São Paulo: Atlas, 2002. 192 p.</w:t>
      </w:r>
    </w:p>
    <w:p w14:paraId="357EBA15" w14:textId="30D0BB79" w:rsidR="005F5994" w:rsidRPr="005F5994" w:rsidRDefault="005F5994" w:rsidP="00523E92">
      <w:pPr>
        <w:spacing w:after="120" w:line="240" w:lineRule="auto"/>
        <w:ind w:firstLine="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GOLDSCHMIDT, P.</w:t>
      </w:r>
      <w:r w:rsidR="000C5357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C. Simulação e jogo de empresas. </w:t>
      </w:r>
      <w:r>
        <w:rPr>
          <w:rFonts w:cs="Arial"/>
          <w:b/>
          <w:shd w:val="clear" w:color="auto" w:fill="FFFFFF"/>
        </w:rPr>
        <w:t xml:space="preserve">Revista de Administração de Empresas, </w:t>
      </w:r>
      <w:r w:rsidR="00760D78" w:rsidRPr="000C5357">
        <w:rPr>
          <w:rFonts w:cs="Arial"/>
          <w:shd w:val="clear" w:color="auto" w:fill="FFFFFF"/>
        </w:rPr>
        <w:t>17(3): 43-46, maio/jun. 1977, Rio de Janeiro.</w:t>
      </w:r>
    </w:p>
    <w:p w14:paraId="52377387" w14:textId="2878EBD6" w:rsidR="00C91439" w:rsidRDefault="00C91439" w:rsidP="00523E92">
      <w:pPr>
        <w:spacing w:after="120" w:line="240" w:lineRule="auto"/>
        <w:ind w:firstLine="0"/>
        <w:rPr>
          <w:rFonts w:cs="Arial"/>
          <w:lang w:val="en-US"/>
        </w:rPr>
      </w:pPr>
      <w:r w:rsidRPr="00EA56C7">
        <w:rPr>
          <w:lang w:val="en-US"/>
        </w:rPr>
        <w:t xml:space="preserve">HERNANDEZ-LARA, A.B., SERRADELL-LOPEZ, </w:t>
      </w:r>
      <w:r w:rsidRPr="000C5357">
        <w:rPr>
          <w:lang w:val="en-US"/>
        </w:rPr>
        <w:t>E., Do business games foster skills? A cross-cultural study from learners’ views</w:t>
      </w:r>
      <w:r>
        <w:rPr>
          <w:lang w:val="en-US"/>
        </w:rPr>
        <w:t xml:space="preserve">. </w:t>
      </w:r>
      <w:r w:rsidRPr="000C5357">
        <w:rPr>
          <w:b/>
          <w:lang w:val="en-US"/>
        </w:rPr>
        <w:t>Intangible Capital</w:t>
      </w:r>
      <w:r>
        <w:rPr>
          <w:lang w:val="en-US"/>
        </w:rPr>
        <w:t xml:space="preserve">, v. 14, n. 2, p. </w:t>
      </w:r>
      <w:r w:rsidRPr="000C5357">
        <w:rPr>
          <w:lang w:val="en-US"/>
        </w:rPr>
        <w:t>315-331</w:t>
      </w:r>
      <w:r>
        <w:rPr>
          <w:lang w:val="en-US"/>
        </w:rPr>
        <w:t>,</w:t>
      </w:r>
      <w:r w:rsidRPr="000C5357">
        <w:rPr>
          <w:lang w:val="en-US"/>
        </w:rPr>
        <w:t xml:space="preserve"> </w:t>
      </w:r>
      <w:r>
        <w:rPr>
          <w:lang w:val="en-US"/>
        </w:rPr>
        <w:t>2018.</w:t>
      </w:r>
      <w:bookmarkStart w:id="0" w:name="_GoBack"/>
      <w:bookmarkEnd w:id="0"/>
    </w:p>
    <w:p w14:paraId="16C9AA52" w14:textId="4F718CE8" w:rsidR="00C91439" w:rsidRPr="00C91439" w:rsidRDefault="00C91439" w:rsidP="00523E92">
      <w:pPr>
        <w:spacing w:after="120" w:line="240" w:lineRule="auto"/>
        <w:ind w:firstLine="0"/>
        <w:rPr>
          <w:rFonts w:cs="Arial"/>
          <w:lang w:val="en-US"/>
        </w:rPr>
      </w:pPr>
      <w:r w:rsidRPr="000C5357">
        <w:rPr>
          <w:rFonts w:cs="Arial"/>
          <w:lang w:val="en-US"/>
        </w:rPr>
        <w:t>HÜBL, A.</w:t>
      </w:r>
      <w:r>
        <w:rPr>
          <w:rFonts w:cs="Arial"/>
          <w:lang w:val="en-US"/>
        </w:rPr>
        <w:t>;</w:t>
      </w:r>
      <w:r w:rsidRPr="000C5357">
        <w:rPr>
          <w:rFonts w:cs="Arial"/>
          <w:lang w:val="en-US"/>
        </w:rPr>
        <w:t xml:space="preserve"> FISCHER, G., Simulation-based business game for teaching methods in logistics and production. 2017 Winter Simulation Conference, </w:t>
      </w:r>
      <w:r w:rsidRPr="000C5357">
        <w:rPr>
          <w:rFonts w:cs="Arial"/>
          <w:b/>
          <w:lang w:val="en-US"/>
        </w:rPr>
        <w:t>Proceedings…</w:t>
      </w:r>
      <w:r w:rsidRPr="00EA56C7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2017.</w:t>
      </w:r>
    </w:p>
    <w:p w14:paraId="59B57D76" w14:textId="3D08D46A" w:rsidR="00E85E5A" w:rsidRPr="00682EAF" w:rsidRDefault="00E85E5A" w:rsidP="00523E92">
      <w:pPr>
        <w:spacing w:after="120" w:line="240" w:lineRule="auto"/>
        <w:ind w:firstLine="0"/>
        <w:rPr>
          <w:rFonts w:cs="Arial"/>
          <w:shd w:val="clear" w:color="auto" w:fill="FFFFFF"/>
        </w:rPr>
      </w:pPr>
      <w:r w:rsidRPr="00682EAF">
        <w:rPr>
          <w:rFonts w:cs="Arial"/>
          <w:shd w:val="clear" w:color="auto" w:fill="FFFFFF"/>
        </w:rPr>
        <w:t xml:space="preserve">MARQUES, P. A.; PESSOA, M. P. S.; SAUAIA, A. C. A. Jogos de Empresas e a aprendizagem de gestão: Uma aplicação com indicadores de desempenho de valor agregado. </w:t>
      </w:r>
      <w:r w:rsidRPr="00383F72">
        <w:rPr>
          <w:rFonts w:cs="Arial"/>
          <w:shd w:val="clear" w:color="auto" w:fill="FFFFFF"/>
        </w:rPr>
        <w:t xml:space="preserve">Anais Eletrônicos XI SIMPEP. Bauru. </w:t>
      </w:r>
      <w:r w:rsidRPr="00682EAF">
        <w:rPr>
          <w:rFonts w:cs="Arial"/>
          <w:shd w:val="clear" w:color="auto" w:fill="FFFFFF"/>
        </w:rPr>
        <w:t>Disponível em: &lt;http://www.simpep.feb.unesp.br/anais/anais_11/copiar.php%3Farquivo%3D259-Marques_P AMF_Jogo%2520de%2520Empresas.pdf+&amp;cd=1&amp;hl=en&amp;ct=clnk&amp;gl=br&amp;client=safari&gt;. Acesso em: 18 abr. 2018.</w:t>
      </w:r>
    </w:p>
    <w:p w14:paraId="229AFCCC" w14:textId="7E7B89FD" w:rsidR="00EC5713" w:rsidRPr="00B10782" w:rsidRDefault="00EC5713" w:rsidP="00523E92">
      <w:pPr>
        <w:spacing w:after="120" w:line="240" w:lineRule="auto"/>
        <w:ind w:firstLine="0"/>
        <w:rPr>
          <w:rFonts w:cs="Arial"/>
          <w:shd w:val="clear" w:color="auto" w:fill="FFFFFF"/>
          <w:lang w:val="en-US"/>
        </w:rPr>
      </w:pPr>
      <w:r w:rsidRPr="00682EAF">
        <w:rPr>
          <w:rFonts w:cs="Arial"/>
          <w:shd w:val="clear" w:color="auto" w:fill="FFFFFF"/>
        </w:rPr>
        <w:t xml:space="preserve">MORAIS, C. M. </w:t>
      </w:r>
      <w:r w:rsidR="00BE4DC0">
        <w:rPr>
          <w:rFonts w:cs="Arial"/>
          <w:b/>
          <w:shd w:val="clear" w:color="auto" w:fill="FFFFFF"/>
        </w:rPr>
        <w:t>E</w:t>
      </w:r>
      <w:r w:rsidR="00BE4DC0" w:rsidRPr="00682EAF">
        <w:rPr>
          <w:rFonts w:cs="Arial"/>
          <w:b/>
          <w:shd w:val="clear" w:color="auto" w:fill="FFFFFF"/>
        </w:rPr>
        <w:t>scalas de medida, estatística descritiva e inferência estatística</w:t>
      </w:r>
      <w:r w:rsidRPr="00682EAF">
        <w:rPr>
          <w:rFonts w:cs="Arial"/>
          <w:b/>
          <w:shd w:val="clear" w:color="auto" w:fill="FFFFFF"/>
        </w:rPr>
        <w:t xml:space="preserve">. </w:t>
      </w:r>
      <w:r w:rsidRPr="00682EAF">
        <w:rPr>
          <w:rFonts w:cs="Arial"/>
          <w:shd w:val="clear" w:color="auto" w:fill="FFFFFF"/>
        </w:rPr>
        <w:t xml:space="preserve">Instituto Politécnico de Bragança. 2005. Disponível em: &lt; http://www.ipb.pt/~cmmm/conteudos/estdescr.pdf&gt;. </w:t>
      </w:r>
      <w:r w:rsidRPr="00B10782">
        <w:rPr>
          <w:rFonts w:cs="Arial"/>
          <w:shd w:val="clear" w:color="auto" w:fill="FFFFFF"/>
          <w:lang w:val="en-US"/>
        </w:rPr>
        <w:t>Acesso em</w:t>
      </w:r>
      <w:r w:rsidR="000C5357" w:rsidRPr="00B10782">
        <w:rPr>
          <w:rFonts w:cs="Arial"/>
          <w:shd w:val="clear" w:color="auto" w:fill="FFFFFF"/>
          <w:lang w:val="en-US"/>
        </w:rPr>
        <w:t>:</w:t>
      </w:r>
      <w:r w:rsidRPr="00B10782">
        <w:rPr>
          <w:rFonts w:cs="Arial"/>
          <w:shd w:val="clear" w:color="auto" w:fill="FFFFFF"/>
          <w:lang w:val="en-US"/>
        </w:rPr>
        <w:t xml:space="preserve"> 27 mar. 2018.</w:t>
      </w:r>
    </w:p>
    <w:p w14:paraId="2EE0EB49" w14:textId="6469B1A8" w:rsidR="00582CA6" w:rsidRPr="000C5357" w:rsidRDefault="00582CA6" w:rsidP="00523E92">
      <w:pPr>
        <w:spacing w:after="120" w:line="240" w:lineRule="auto"/>
        <w:ind w:firstLine="0"/>
        <w:rPr>
          <w:rFonts w:cs="Arial"/>
          <w:shd w:val="clear" w:color="auto" w:fill="FFFFFF"/>
          <w:lang w:val="en-US"/>
        </w:rPr>
      </w:pPr>
      <w:r w:rsidRPr="000C5357">
        <w:rPr>
          <w:rFonts w:cs="Arial"/>
          <w:shd w:val="clear" w:color="auto" w:fill="FFFFFF"/>
          <w:lang w:val="en-US"/>
        </w:rPr>
        <w:t xml:space="preserve">OBLINGER, D. G. </w:t>
      </w:r>
      <w:r w:rsidR="00BE4DC0">
        <w:rPr>
          <w:rFonts w:cs="Arial"/>
          <w:shd w:val="clear" w:color="auto" w:fill="FFFFFF"/>
          <w:lang w:val="en-US"/>
        </w:rPr>
        <w:t>T</w:t>
      </w:r>
      <w:r w:rsidR="00BE4DC0" w:rsidRPr="00582CA6">
        <w:rPr>
          <w:rFonts w:cs="Arial"/>
          <w:shd w:val="clear" w:color="auto" w:fill="FFFFFF"/>
          <w:lang w:val="en-US"/>
        </w:rPr>
        <w:t>he next generation of educational engagement</w:t>
      </w:r>
      <w:r w:rsidRPr="000C5357">
        <w:rPr>
          <w:rFonts w:cs="Arial"/>
          <w:shd w:val="clear" w:color="auto" w:fill="FFFFFF"/>
          <w:lang w:val="en-US"/>
        </w:rPr>
        <w:t xml:space="preserve">. </w:t>
      </w:r>
      <w:r w:rsidRPr="000C5357">
        <w:rPr>
          <w:rFonts w:cs="Arial"/>
          <w:b/>
          <w:lang w:val="en-US"/>
        </w:rPr>
        <w:t>Journal of Interactive Media in Education</w:t>
      </w:r>
      <w:r w:rsidRPr="000C5357">
        <w:rPr>
          <w:rFonts w:cs="Arial"/>
          <w:b/>
          <w:shd w:val="clear" w:color="auto" w:fill="FFFFFF"/>
          <w:lang w:val="en-US"/>
        </w:rPr>
        <w:t>,</w:t>
      </w:r>
      <w:r w:rsidRPr="000C5357">
        <w:rPr>
          <w:rFonts w:cs="Arial"/>
          <w:shd w:val="clear" w:color="auto" w:fill="FFFFFF"/>
          <w:lang w:val="en-US"/>
        </w:rPr>
        <w:t xml:space="preserve"> 8, p. 1-18</w:t>
      </w:r>
      <w:r>
        <w:rPr>
          <w:rFonts w:cs="Arial"/>
          <w:shd w:val="clear" w:color="auto" w:fill="FFFFFF"/>
          <w:lang w:val="en-US"/>
        </w:rPr>
        <w:t xml:space="preserve">, </w:t>
      </w:r>
      <w:r w:rsidRPr="000C5357">
        <w:rPr>
          <w:rFonts w:cs="Arial"/>
          <w:shd w:val="clear" w:color="auto" w:fill="FFFFFF"/>
          <w:lang w:val="en-US"/>
        </w:rPr>
        <w:t>2004.</w:t>
      </w:r>
    </w:p>
    <w:p w14:paraId="05AF2CCF" w14:textId="77777777" w:rsidR="00F83195" w:rsidRDefault="00F83195" w:rsidP="00523E92">
      <w:pPr>
        <w:spacing w:after="120" w:line="240" w:lineRule="auto"/>
        <w:ind w:firstLine="0"/>
      </w:pPr>
      <w:r>
        <w:t xml:space="preserve">SANTOS, M. R. G. F.; LOVATO, S. Os Jogos de empresas como recurso didático na formação de administradores. </w:t>
      </w:r>
      <w:r w:rsidRPr="000C5357">
        <w:rPr>
          <w:b/>
        </w:rPr>
        <w:t>RENOTE,</w:t>
      </w:r>
      <w:r>
        <w:t xml:space="preserve"> v. 5, n. 2, 2007.</w:t>
      </w:r>
    </w:p>
    <w:p w14:paraId="2C56BA25" w14:textId="77777777" w:rsidR="00085B3F" w:rsidRPr="00682EAF" w:rsidRDefault="00085B3F" w:rsidP="00523E92">
      <w:pPr>
        <w:spacing w:after="120" w:line="240" w:lineRule="auto"/>
        <w:ind w:firstLine="0"/>
        <w:rPr>
          <w:rFonts w:cs="Arial"/>
          <w:shd w:val="clear" w:color="auto" w:fill="FFFFFF"/>
        </w:rPr>
      </w:pPr>
      <w:r w:rsidRPr="00682EAF">
        <w:rPr>
          <w:rFonts w:cs="Arial"/>
          <w:shd w:val="clear" w:color="auto" w:fill="FFFFFF"/>
        </w:rPr>
        <w:lastRenderedPageBreak/>
        <w:t xml:space="preserve">SAUAIA, A. C. A. </w:t>
      </w:r>
      <w:r w:rsidRPr="00682EAF">
        <w:rPr>
          <w:rFonts w:cs="Arial"/>
          <w:b/>
          <w:shd w:val="clear" w:color="auto" w:fill="FFFFFF"/>
        </w:rPr>
        <w:t>Satisfação e aprendizagem em jogos de empresas: contribuições para a educação gerencial</w:t>
      </w:r>
      <w:r w:rsidR="003B79B9" w:rsidRPr="00682EAF">
        <w:rPr>
          <w:rFonts w:cs="Arial"/>
          <w:b/>
          <w:shd w:val="clear" w:color="auto" w:fill="FFFFFF"/>
        </w:rPr>
        <w:t>.</w:t>
      </w:r>
      <w:r w:rsidR="003B79B9" w:rsidRPr="00682EAF">
        <w:rPr>
          <w:rFonts w:cs="Arial"/>
          <w:shd w:val="clear" w:color="auto" w:fill="FFFFFF"/>
        </w:rPr>
        <w:t xml:space="preserve"> 1995. 100 f.</w:t>
      </w:r>
      <w:r w:rsidRPr="00682EAF">
        <w:rPr>
          <w:rFonts w:cs="Arial"/>
          <w:shd w:val="clear" w:color="auto" w:fill="FFFFFF"/>
        </w:rPr>
        <w:t xml:space="preserve"> </w:t>
      </w:r>
      <w:r w:rsidR="003B79B9" w:rsidRPr="00682EAF">
        <w:rPr>
          <w:rFonts w:cs="Arial"/>
          <w:shd w:val="clear" w:color="auto" w:fill="FFFFFF"/>
        </w:rPr>
        <w:t>Tese (D</w:t>
      </w:r>
      <w:r w:rsidRPr="00682EAF">
        <w:rPr>
          <w:rFonts w:cs="Arial"/>
          <w:shd w:val="clear" w:color="auto" w:fill="FFFFFF"/>
        </w:rPr>
        <w:t>outorado). Universidad</w:t>
      </w:r>
      <w:r w:rsidR="003B79B9" w:rsidRPr="00682EAF">
        <w:rPr>
          <w:rFonts w:cs="Arial"/>
          <w:shd w:val="clear" w:color="auto" w:fill="FFFFFF"/>
        </w:rPr>
        <w:t>e de São Paulo, São Paulo/SP</w:t>
      </w:r>
      <w:r w:rsidRPr="00682EAF">
        <w:rPr>
          <w:rFonts w:cs="Arial"/>
          <w:shd w:val="clear" w:color="auto" w:fill="FFFFFF"/>
        </w:rPr>
        <w:t>.</w:t>
      </w:r>
    </w:p>
    <w:p w14:paraId="162FF915" w14:textId="77777777" w:rsidR="00EC5713" w:rsidRPr="00682EAF" w:rsidRDefault="00EC5713" w:rsidP="00523E92">
      <w:pPr>
        <w:spacing w:after="120" w:line="240" w:lineRule="auto"/>
        <w:ind w:firstLine="0"/>
        <w:rPr>
          <w:rFonts w:cs="Arial"/>
          <w:shd w:val="clear" w:color="auto" w:fill="FFFFFF"/>
          <w:lang w:val="en-US"/>
        </w:rPr>
      </w:pPr>
      <w:r w:rsidRPr="00682EAF">
        <w:rPr>
          <w:rFonts w:cs="Arial"/>
          <w:shd w:val="clear" w:color="auto" w:fill="FFFFFF"/>
        </w:rPr>
        <w:t xml:space="preserve">SOLOMON, M. R. </w:t>
      </w:r>
      <w:r w:rsidRPr="00682EAF">
        <w:rPr>
          <w:rFonts w:cs="Arial"/>
          <w:b/>
          <w:shd w:val="clear" w:color="auto" w:fill="FFFFFF"/>
        </w:rPr>
        <w:t>O comportamento do consumidor.</w:t>
      </w:r>
      <w:r w:rsidRPr="00682EAF">
        <w:rPr>
          <w:rFonts w:cs="Arial"/>
          <w:shd w:val="clear" w:color="auto" w:fill="FFFFFF"/>
        </w:rPr>
        <w:t xml:space="preserve"> </w:t>
      </w:r>
      <w:r w:rsidRPr="00682EAF">
        <w:rPr>
          <w:rFonts w:cs="Arial"/>
          <w:shd w:val="clear" w:color="auto" w:fill="FFFFFF"/>
          <w:lang w:val="en-US"/>
        </w:rPr>
        <w:t>11. ed. Porto Alegre: Bookman, 2016. 608 p.</w:t>
      </w:r>
    </w:p>
    <w:p w14:paraId="497353B9" w14:textId="101763CD" w:rsidR="00806143" w:rsidRPr="00682EAF" w:rsidRDefault="00806143" w:rsidP="00523E92">
      <w:pPr>
        <w:spacing w:after="120" w:line="240" w:lineRule="auto"/>
        <w:ind w:firstLine="0"/>
        <w:rPr>
          <w:rFonts w:cs="Arial"/>
          <w:shd w:val="clear" w:color="auto" w:fill="FFFFFF"/>
          <w:lang w:val="en-US"/>
        </w:rPr>
      </w:pPr>
      <w:r w:rsidRPr="00682EAF">
        <w:rPr>
          <w:rFonts w:cs="Arial"/>
          <w:shd w:val="clear" w:color="auto" w:fill="FFFFFF"/>
          <w:lang w:val="en-US"/>
        </w:rPr>
        <w:t>WELLINGTON, W. J.; FARIA, A. J.; WHITELEY, T. R. Consistency in simulation performance over time and across simulation games.</w:t>
      </w:r>
      <w:r w:rsidR="006525EE">
        <w:rPr>
          <w:rFonts w:cs="Arial"/>
          <w:shd w:val="clear" w:color="auto" w:fill="FFFFFF"/>
          <w:lang w:val="en-US"/>
        </w:rPr>
        <w:t xml:space="preserve"> </w:t>
      </w:r>
      <w:r w:rsidRPr="00682EAF">
        <w:rPr>
          <w:rFonts w:cs="Arial"/>
          <w:b/>
          <w:iCs/>
          <w:lang w:val="en-US"/>
        </w:rPr>
        <w:t>Developments in Business Simulation and Experiential</w:t>
      </w:r>
      <w:r w:rsidRPr="00682EAF">
        <w:rPr>
          <w:rFonts w:cs="Arial"/>
          <w:i/>
          <w:iCs/>
          <w:lang w:val="en-US"/>
        </w:rPr>
        <w:t xml:space="preserve">, </w:t>
      </w:r>
      <w:r w:rsidRPr="00682EAF">
        <w:rPr>
          <w:rFonts w:cs="Arial"/>
          <w:iCs/>
          <w:lang w:val="en-US"/>
        </w:rPr>
        <w:t>v.</w:t>
      </w:r>
      <w:r w:rsidR="006525EE">
        <w:rPr>
          <w:rFonts w:cs="Arial"/>
          <w:shd w:val="clear" w:color="auto" w:fill="FFFFFF"/>
          <w:lang w:val="en-US"/>
        </w:rPr>
        <w:t xml:space="preserve"> </w:t>
      </w:r>
      <w:r w:rsidRPr="00682EAF">
        <w:rPr>
          <w:rFonts w:cs="Arial"/>
          <w:iCs/>
          <w:lang w:val="en-US"/>
        </w:rPr>
        <w:t>24</w:t>
      </w:r>
      <w:r w:rsidR="00F41936" w:rsidRPr="00682EAF">
        <w:rPr>
          <w:rFonts w:cs="Arial"/>
          <w:shd w:val="clear" w:color="auto" w:fill="FFFFFF"/>
          <w:lang w:val="en-US"/>
        </w:rPr>
        <w:t>.</w:t>
      </w:r>
      <w:r w:rsidRPr="00682EAF">
        <w:rPr>
          <w:rFonts w:cs="Arial"/>
          <w:shd w:val="clear" w:color="auto" w:fill="FFFFFF"/>
          <w:lang w:val="en-US"/>
        </w:rPr>
        <w:t xml:space="preserve"> 1997.</w:t>
      </w:r>
    </w:p>
    <w:sectPr w:rsidR="00806143" w:rsidRPr="00682EAF" w:rsidSect="005A2C31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F2CAF" w14:textId="77777777" w:rsidR="004847D0" w:rsidRDefault="004847D0" w:rsidP="004F0513">
      <w:pPr>
        <w:spacing w:line="240" w:lineRule="auto"/>
      </w:pPr>
      <w:r>
        <w:separator/>
      </w:r>
    </w:p>
  </w:endnote>
  <w:endnote w:type="continuationSeparator" w:id="0">
    <w:p w14:paraId="45A1E8E1" w14:textId="77777777" w:rsidR="004847D0" w:rsidRDefault="004847D0" w:rsidP="004F0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140E" w14:textId="77777777" w:rsidR="004847D0" w:rsidRDefault="004847D0" w:rsidP="004F0513">
      <w:pPr>
        <w:spacing w:line="240" w:lineRule="auto"/>
      </w:pPr>
      <w:r>
        <w:separator/>
      </w:r>
    </w:p>
  </w:footnote>
  <w:footnote w:type="continuationSeparator" w:id="0">
    <w:p w14:paraId="4D984CCD" w14:textId="77777777" w:rsidR="004847D0" w:rsidRDefault="004847D0" w:rsidP="004F0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AB1"/>
    <w:multiLevelType w:val="hybridMultilevel"/>
    <w:tmpl w:val="72267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C9A"/>
    <w:multiLevelType w:val="hybridMultilevel"/>
    <w:tmpl w:val="2514C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5367D"/>
    <w:multiLevelType w:val="hybridMultilevel"/>
    <w:tmpl w:val="49104B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E2E86"/>
    <w:multiLevelType w:val="hybridMultilevel"/>
    <w:tmpl w:val="149CE5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23C37"/>
    <w:multiLevelType w:val="hybridMultilevel"/>
    <w:tmpl w:val="A1E68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83E05"/>
    <w:multiLevelType w:val="hybridMultilevel"/>
    <w:tmpl w:val="E70EA7D4"/>
    <w:lvl w:ilvl="0" w:tplc="04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70960636"/>
    <w:multiLevelType w:val="hybridMultilevel"/>
    <w:tmpl w:val="D5C8D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D70E5"/>
    <w:multiLevelType w:val="hybridMultilevel"/>
    <w:tmpl w:val="F5822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1"/>
    <w:rsid w:val="00015EB0"/>
    <w:rsid w:val="00016B21"/>
    <w:rsid w:val="00022D19"/>
    <w:rsid w:val="00052FF2"/>
    <w:rsid w:val="00060E23"/>
    <w:rsid w:val="00085B3F"/>
    <w:rsid w:val="0009701F"/>
    <w:rsid w:val="000B2186"/>
    <w:rsid w:val="000B7859"/>
    <w:rsid w:val="000C0874"/>
    <w:rsid w:val="000C5357"/>
    <w:rsid w:val="0012497E"/>
    <w:rsid w:val="00154925"/>
    <w:rsid w:val="00155AE3"/>
    <w:rsid w:val="001561D5"/>
    <w:rsid w:val="00161133"/>
    <w:rsid w:val="001801A4"/>
    <w:rsid w:val="00183003"/>
    <w:rsid w:val="00193136"/>
    <w:rsid w:val="001979FD"/>
    <w:rsid w:val="001B0216"/>
    <w:rsid w:val="001B66A6"/>
    <w:rsid w:val="001F26C4"/>
    <w:rsid w:val="001F4706"/>
    <w:rsid w:val="00201460"/>
    <w:rsid w:val="00217103"/>
    <w:rsid w:val="002202B4"/>
    <w:rsid w:val="00245ECD"/>
    <w:rsid w:val="0025155C"/>
    <w:rsid w:val="00257DF1"/>
    <w:rsid w:val="00261C58"/>
    <w:rsid w:val="0027499B"/>
    <w:rsid w:val="00280B32"/>
    <w:rsid w:val="00281789"/>
    <w:rsid w:val="00287521"/>
    <w:rsid w:val="002C7EE2"/>
    <w:rsid w:val="002F2779"/>
    <w:rsid w:val="002F4242"/>
    <w:rsid w:val="00300466"/>
    <w:rsid w:val="00303CB3"/>
    <w:rsid w:val="00303D5D"/>
    <w:rsid w:val="0031098C"/>
    <w:rsid w:val="003211DF"/>
    <w:rsid w:val="00332839"/>
    <w:rsid w:val="003460B4"/>
    <w:rsid w:val="0035511A"/>
    <w:rsid w:val="00364882"/>
    <w:rsid w:val="00372E7F"/>
    <w:rsid w:val="00373BF9"/>
    <w:rsid w:val="003762CC"/>
    <w:rsid w:val="00382C82"/>
    <w:rsid w:val="00382EE8"/>
    <w:rsid w:val="00383F72"/>
    <w:rsid w:val="00391F9C"/>
    <w:rsid w:val="003A33E1"/>
    <w:rsid w:val="003B79B9"/>
    <w:rsid w:val="003C35B7"/>
    <w:rsid w:val="003D257B"/>
    <w:rsid w:val="003F0C59"/>
    <w:rsid w:val="003F2945"/>
    <w:rsid w:val="00407F22"/>
    <w:rsid w:val="00435659"/>
    <w:rsid w:val="0043707C"/>
    <w:rsid w:val="00441D6C"/>
    <w:rsid w:val="004613B4"/>
    <w:rsid w:val="004771E5"/>
    <w:rsid w:val="004847D0"/>
    <w:rsid w:val="0048593C"/>
    <w:rsid w:val="004A2435"/>
    <w:rsid w:val="004A5323"/>
    <w:rsid w:val="004C3CDE"/>
    <w:rsid w:val="004C4A10"/>
    <w:rsid w:val="004D2009"/>
    <w:rsid w:val="004E0A05"/>
    <w:rsid w:val="004F0513"/>
    <w:rsid w:val="004F5E38"/>
    <w:rsid w:val="004F7FE9"/>
    <w:rsid w:val="00506E92"/>
    <w:rsid w:val="00517F97"/>
    <w:rsid w:val="00521317"/>
    <w:rsid w:val="00523E92"/>
    <w:rsid w:val="00530AB3"/>
    <w:rsid w:val="00545514"/>
    <w:rsid w:val="00551B0E"/>
    <w:rsid w:val="00567AE4"/>
    <w:rsid w:val="00571F31"/>
    <w:rsid w:val="00582CA6"/>
    <w:rsid w:val="00585941"/>
    <w:rsid w:val="00597E89"/>
    <w:rsid w:val="005A0E8D"/>
    <w:rsid w:val="005A2C31"/>
    <w:rsid w:val="005C2482"/>
    <w:rsid w:val="005D212A"/>
    <w:rsid w:val="005E7B2A"/>
    <w:rsid w:val="005F5994"/>
    <w:rsid w:val="005F7931"/>
    <w:rsid w:val="00601488"/>
    <w:rsid w:val="006208E0"/>
    <w:rsid w:val="006409BE"/>
    <w:rsid w:val="006525EE"/>
    <w:rsid w:val="006578A3"/>
    <w:rsid w:val="00681106"/>
    <w:rsid w:val="00682EAF"/>
    <w:rsid w:val="006C1DC7"/>
    <w:rsid w:val="006C5AD0"/>
    <w:rsid w:val="006D36A1"/>
    <w:rsid w:val="006E547B"/>
    <w:rsid w:val="007140FD"/>
    <w:rsid w:val="00735D14"/>
    <w:rsid w:val="00742CB4"/>
    <w:rsid w:val="00744E7F"/>
    <w:rsid w:val="00760D78"/>
    <w:rsid w:val="00767F7E"/>
    <w:rsid w:val="00771D47"/>
    <w:rsid w:val="00781BE3"/>
    <w:rsid w:val="00787E6C"/>
    <w:rsid w:val="00794189"/>
    <w:rsid w:val="007A27F6"/>
    <w:rsid w:val="007C2713"/>
    <w:rsid w:val="007C70F1"/>
    <w:rsid w:val="007D0EDD"/>
    <w:rsid w:val="007E51F5"/>
    <w:rsid w:val="007F1155"/>
    <w:rsid w:val="007F1444"/>
    <w:rsid w:val="007F3334"/>
    <w:rsid w:val="007F5447"/>
    <w:rsid w:val="00806143"/>
    <w:rsid w:val="00813FC8"/>
    <w:rsid w:val="00851C64"/>
    <w:rsid w:val="00871E3B"/>
    <w:rsid w:val="008B7110"/>
    <w:rsid w:val="008D292B"/>
    <w:rsid w:val="008E37BD"/>
    <w:rsid w:val="00904A77"/>
    <w:rsid w:val="0090669E"/>
    <w:rsid w:val="00907989"/>
    <w:rsid w:val="00927B59"/>
    <w:rsid w:val="00952179"/>
    <w:rsid w:val="00967D0D"/>
    <w:rsid w:val="00975952"/>
    <w:rsid w:val="00982EE6"/>
    <w:rsid w:val="009B6FA4"/>
    <w:rsid w:val="009C0BC7"/>
    <w:rsid w:val="009C296C"/>
    <w:rsid w:val="009D6014"/>
    <w:rsid w:val="009F4539"/>
    <w:rsid w:val="009F7DD3"/>
    <w:rsid w:val="00A319E0"/>
    <w:rsid w:val="00A37E66"/>
    <w:rsid w:val="00A43759"/>
    <w:rsid w:val="00A62A93"/>
    <w:rsid w:val="00A75C15"/>
    <w:rsid w:val="00A97892"/>
    <w:rsid w:val="00A97E2A"/>
    <w:rsid w:val="00AA07CA"/>
    <w:rsid w:val="00AA258A"/>
    <w:rsid w:val="00AC25A5"/>
    <w:rsid w:val="00AE1AF9"/>
    <w:rsid w:val="00AF333A"/>
    <w:rsid w:val="00B029C1"/>
    <w:rsid w:val="00B10782"/>
    <w:rsid w:val="00B168F7"/>
    <w:rsid w:val="00B27D3C"/>
    <w:rsid w:val="00B65ABA"/>
    <w:rsid w:val="00B66174"/>
    <w:rsid w:val="00B7025F"/>
    <w:rsid w:val="00B854B3"/>
    <w:rsid w:val="00BB7789"/>
    <w:rsid w:val="00BD5CFF"/>
    <w:rsid w:val="00BE4DC0"/>
    <w:rsid w:val="00BF140E"/>
    <w:rsid w:val="00BF1BCB"/>
    <w:rsid w:val="00C240E4"/>
    <w:rsid w:val="00C265D1"/>
    <w:rsid w:val="00C347F2"/>
    <w:rsid w:val="00C4587A"/>
    <w:rsid w:val="00C53607"/>
    <w:rsid w:val="00C75AD5"/>
    <w:rsid w:val="00C81398"/>
    <w:rsid w:val="00C87015"/>
    <w:rsid w:val="00C91439"/>
    <w:rsid w:val="00C927BA"/>
    <w:rsid w:val="00C956E5"/>
    <w:rsid w:val="00CC261F"/>
    <w:rsid w:val="00CF3782"/>
    <w:rsid w:val="00D007AA"/>
    <w:rsid w:val="00D037F9"/>
    <w:rsid w:val="00D16CC0"/>
    <w:rsid w:val="00D2291A"/>
    <w:rsid w:val="00D72117"/>
    <w:rsid w:val="00D73A3E"/>
    <w:rsid w:val="00D91C15"/>
    <w:rsid w:val="00D91E10"/>
    <w:rsid w:val="00D95CB8"/>
    <w:rsid w:val="00D95F10"/>
    <w:rsid w:val="00DA4F0D"/>
    <w:rsid w:val="00DB15B4"/>
    <w:rsid w:val="00DB4283"/>
    <w:rsid w:val="00DC0384"/>
    <w:rsid w:val="00DC4BC8"/>
    <w:rsid w:val="00E10CD1"/>
    <w:rsid w:val="00E27AD5"/>
    <w:rsid w:val="00E366D4"/>
    <w:rsid w:val="00E46978"/>
    <w:rsid w:val="00E646DB"/>
    <w:rsid w:val="00E652E4"/>
    <w:rsid w:val="00E73526"/>
    <w:rsid w:val="00E76150"/>
    <w:rsid w:val="00E85E5A"/>
    <w:rsid w:val="00EA38AE"/>
    <w:rsid w:val="00EA56C7"/>
    <w:rsid w:val="00EB4587"/>
    <w:rsid w:val="00EB49AE"/>
    <w:rsid w:val="00EC5713"/>
    <w:rsid w:val="00ED30ED"/>
    <w:rsid w:val="00ED3720"/>
    <w:rsid w:val="00ED6D60"/>
    <w:rsid w:val="00ED7B18"/>
    <w:rsid w:val="00F10585"/>
    <w:rsid w:val="00F12DF4"/>
    <w:rsid w:val="00F26026"/>
    <w:rsid w:val="00F35282"/>
    <w:rsid w:val="00F41936"/>
    <w:rsid w:val="00F83195"/>
    <w:rsid w:val="00F9386E"/>
    <w:rsid w:val="00FA2284"/>
    <w:rsid w:val="00FA6959"/>
    <w:rsid w:val="00FB7508"/>
    <w:rsid w:val="00FD6278"/>
    <w:rsid w:val="00FD6970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3EE"/>
  <w15:docId w15:val="{FF0507B7-30D2-624A-8FE6-0D8BDA91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1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CB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Fontepargpadro"/>
    <w:rsid w:val="007F5447"/>
  </w:style>
  <w:style w:type="table" w:styleId="Tabelacomgrade">
    <w:name w:val="Table Grid"/>
    <w:basedOn w:val="Tabelanormal"/>
    <w:uiPriority w:val="39"/>
    <w:rsid w:val="00D0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37F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D30ED"/>
    <w:pPr>
      <w:spacing w:after="120" w:line="240" w:lineRule="auto"/>
      <w:ind w:firstLine="709"/>
    </w:pPr>
  </w:style>
  <w:style w:type="character" w:customStyle="1" w:styleId="CorpodetextoChar">
    <w:name w:val="Corpo de texto Char"/>
    <w:basedOn w:val="Fontepargpadro"/>
    <w:link w:val="Corpodetexto"/>
    <w:uiPriority w:val="99"/>
    <w:rsid w:val="00ED30ED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D7B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B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B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B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B1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B18"/>
    <w:pPr>
      <w:spacing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B18"/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051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05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0513"/>
    <w:rPr>
      <w:vertAlign w:val="superscript"/>
    </w:rPr>
  </w:style>
  <w:style w:type="character" w:styleId="nfase">
    <w:name w:val="Emphasis"/>
    <w:basedOn w:val="Fontepargpadro"/>
    <w:uiPriority w:val="20"/>
    <w:qFormat/>
    <w:rsid w:val="00582CA6"/>
    <w:rPr>
      <w:i/>
      <w:iCs/>
    </w:rPr>
  </w:style>
  <w:style w:type="paragraph" w:styleId="Reviso">
    <w:name w:val="Revision"/>
    <w:hidden/>
    <w:uiPriority w:val="99"/>
    <w:semiHidden/>
    <w:rsid w:val="00DB15B4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brunajungles\Dropbox\Bruna\UNESP\MESTRADO\Disciplinas\2&#186;%20Trimestre\Jogos\Artigo\Resultad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brunajungles\Dropbox\Bruna\UNESP\MESTRADO\Disciplinas\2&#186;%20Trimestre\Jogos\Artigo\Resultad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brunajungles\Dropbox\Bruna\UNESP\MESTRADO\Disciplinas\2&#186;%20Trimestre\Jogos\Artigo\Resultad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brunajungles\Dropbox\Bruna\UNESP\MESTRADO\Disciplinas\2&#186;%20Trimestre\Jogos\Artigo\Resultad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'Etapa 1'!$A$71:$A$79</c:f>
              <c:strCache>
                <c:ptCount val="9"/>
                <c:pt idx="0">
                  <c:v>Estratégia organizacional (Conhecimento)</c:v>
                </c:pt>
                <c:pt idx="1">
                  <c:v>Meticulosidade (Atitude)</c:v>
                </c:pt>
                <c:pt idx="2">
                  <c:v>Tecnologia da informação</c:v>
                </c:pt>
                <c:pt idx="3">
                  <c:v>Métodos, técnicas... (Conhecimento)</c:v>
                </c:pt>
                <c:pt idx="4">
                  <c:v>Capacidade de síntese (Habilidade)</c:v>
                </c:pt>
                <c:pt idx="5">
                  <c:v>Lidar com ambiguidades... (Habilidade)</c:v>
                </c:pt>
                <c:pt idx="6">
                  <c:v>Saber quando parar a análise (Habilidade)</c:v>
                </c:pt>
                <c:pt idx="7">
                  <c:v>Extrair implicações estratégicas (Habilidade)</c:v>
                </c:pt>
                <c:pt idx="8">
                  <c:v>Metodologia científica (Conhecimento)</c:v>
                </c:pt>
              </c:strCache>
            </c:strRef>
          </c:cat>
          <c:val>
            <c:numRef>
              <c:f>'Etapa 1'!$D$71:$D$79</c:f>
              <c:numCache>
                <c:formatCode>General</c:formatCode>
                <c:ptCount val="9"/>
                <c:pt idx="0">
                  <c:v>19</c:v>
                </c:pt>
                <c:pt idx="1">
                  <c:v>20</c:v>
                </c:pt>
                <c:pt idx="2">
                  <c:v>21</c:v>
                </c:pt>
                <c:pt idx="3">
                  <c:v>22</c:v>
                </c:pt>
                <c:pt idx="4">
                  <c:v>22</c:v>
                </c:pt>
                <c:pt idx="5">
                  <c:v>23</c:v>
                </c:pt>
                <c:pt idx="6">
                  <c:v>23</c:v>
                </c:pt>
                <c:pt idx="7">
                  <c:v>26</c:v>
                </c:pt>
                <c:pt idx="8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9-264F-84F0-C43E5FDEC9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622720"/>
        <c:axId val="166624256"/>
      </c:barChart>
      <c:catAx>
        <c:axId val="16662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66624256"/>
        <c:crosses val="autoZero"/>
        <c:auto val="1"/>
        <c:lblAlgn val="ctr"/>
        <c:lblOffset val="100"/>
        <c:noMultiLvlLbl val="0"/>
      </c:catAx>
      <c:valAx>
        <c:axId val="166624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6662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887839792226943"/>
          <c:y val="6.4881431972166531E-2"/>
          <c:w val="0.49458547411303383"/>
          <c:h val="0.7917533418787767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'Etapa 2'!$A$18:$A$23</c:f>
              <c:strCache>
                <c:ptCount val="6"/>
                <c:pt idx="0">
                  <c:v>Metodologia científica</c:v>
                </c:pt>
                <c:pt idx="1">
                  <c:v>Estrutura Organizacional</c:v>
                </c:pt>
                <c:pt idx="2">
                  <c:v>Tecnologia da informação</c:v>
                </c:pt>
                <c:pt idx="3">
                  <c:v>Estratégia organizacional</c:v>
                </c:pt>
                <c:pt idx="4">
                  <c:v>Organização da informação</c:v>
                </c:pt>
                <c:pt idx="5">
                  <c:v>Métodos, técnicas e ferramentas de análise</c:v>
                </c:pt>
              </c:strCache>
            </c:strRef>
          </c:cat>
          <c:val>
            <c:numRef>
              <c:f>'Etapa 2'!$O$18:$O$23</c:f>
              <c:numCache>
                <c:formatCode>General</c:formatCode>
                <c:ptCount val="6"/>
                <c:pt idx="0">
                  <c:v>68</c:v>
                </c:pt>
                <c:pt idx="1">
                  <c:v>76</c:v>
                </c:pt>
                <c:pt idx="2">
                  <c:v>80</c:v>
                </c:pt>
                <c:pt idx="3">
                  <c:v>81</c:v>
                </c:pt>
                <c:pt idx="4">
                  <c:v>81</c:v>
                </c:pt>
                <c:pt idx="5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B3D-8841-8C9A-1A15458766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689408"/>
        <c:axId val="166700160"/>
      </c:barChart>
      <c:catAx>
        <c:axId val="16668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66700160"/>
        <c:crosses val="autoZero"/>
        <c:auto val="1"/>
        <c:lblAlgn val="ctr"/>
        <c:lblOffset val="100"/>
        <c:noMultiLvlLbl val="0"/>
      </c:catAx>
      <c:valAx>
        <c:axId val="166700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6668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'Etapa 2'!$A$38:$A$48</c:f>
              <c:strCache>
                <c:ptCount val="11"/>
                <c:pt idx="0">
                  <c:v>Aprender com as experiências</c:v>
                </c:pt>
                <c:pt idx="1">
                  <c:v>Gerar explicações consistentes dos fatos</c:v>
                </c:pt>
                <c:pt idx="2">
                  <c:v>Identificar tendências, padrões e relacionamentos-chave em meio aos dados coletados</c:v>
                </c:pt>
                <c:pt idx="3">
                  <c:v>Perspicácia</c:v>
                </c:pt>
                <c:pt idx="4">
                  <c:v>Organizar informações</c:v>
                </c:pt>
                <c:pt idx="5">
                  <c:v>Visão de futuro</c:v>
                </c:pt>
                <c:pt idx="6">
                  <c:v>Extrair dados relevantes</c:v>
                </c:pt>
                <c:pt idx="7">
                  <c:v>Intuição</c:v>
                </c:pt>
                <c:pt idx="8">
                  <c:v>Raciocínio lógico</c:v>
                </c:pt>
                <c:pt idx="9">
                  <c:v>Raciocínio estratégico</c:v>
                </c:pt>
                <c:pt idx="10">
                  <c:v>Pensamento analítico</c:v>
                </c:pt>
              </c:strCache>
            </c:strRef>
          </c:cat>
          <c:val>
            <c:numRef>
              <c:f>'Etapa 2'!$O$38:$O$48</c:f>
              <c:numCache>
                <c:formatCode>General</c:formatCode>
                <c:ptCount val="11"/>
                <c:pt idx="0">
                  <c:v>89</c:v>
                </c:pt>
                <c:pt idx="1">
                  <c:v>89</c:v>
                </c:pt>
                <c:pt idx="2">
                  <c:v>89</c:v>
                </c:pt>
                <c:pt idx="3">
                  <c:v>89</c:v>
                </c:pt>
                <c:pt idx="4">
                  <c:v>90</c:v>
                </c:pt>
                <c:pt idx="5">
                  <c:v>90</c:v>
                </c:pt>
                <c:pt idx="6">
                  <c:v>91</c:v>
                </c:pt>
                <c:pt idx="7">
                  <c:v>91</c:v>
                </c:pt>
                <c:pt idx="8">
                  <c:v>91</c:v>
                </c:pt>
                <c:pt idx="9">
                  <c:v>92</c:v>
                </c:pt>
                <c:pt idx="1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13E-334F-9CD1-0A3B8468B2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240960"/>
        <c:axId val="179243264"/>
      </c:barChart>
      <c:catAx>
        <c:axId val="17924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9243264"/>
        <c:crosses val="autoZero"/>
        <c:auto val="1"/>
        <c:lblAlgn val="ctr"/>
        <c:lblOffset val="100"/>
        <c:noMultiLvlLbl val="0"/>
      </c:catAx>
      <c:valAx>
        <c:axId val="179243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924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'Etapa 2'!$A$55:$A$66</c:f>
              <c:strCache>
                <c:ptCount val="12"/>
                <c:pt idx="0">
                  <c:v>Agilidade</c:v>
                </c:pt>
                <c:pt idx="1">
                  <c:v>Ética</c:v>
                </c:pt>
                <c:pt idx="2">
                  <c:v>Proatividade</c:v>
                </c:pt>
                <c:pt idx="3">
                  <c:v>Senso crítico</c:v>
                </c:pt>
                <c:pt idx="4">
                  <c:v>Meticulosidade</c:v>
                </c:pt>
                <c:pt idx="5">
                  <c:v>Discrição</c:v>
                </c:pt>
                <c:pt idx="6">
                  <c:v>Organização</c:v>
                </c:pt>
                <c:pt idx="7">
                  <c:v>Percepção</c:v>
                </c:pt>
                <c:pt idx="8">
                  <c:v>Observação</c:v>
                </c:pt>
                <c:pt idx="9">
                  <c:v>Perseverança</c:v>
                </c:pt>
                <c:pt idx="10">
                  <c:v>Criatividade</c:v>
                </c:pt>
                <c:pt idx="11">
                  <c:v>Curiosidade</c:v>
                </c:pt>
              </c:strCache>
            </c:strRef>
          </c:cat>
          <c:val>
            <c:numRef>
              <c:f>'Etapa 2'!$O$55:$O$66</c:f>
              <c:numCache>
                <c:formatCode>General</c:formatCode>
                <c:ptCount val="12"/>
                <c:pt idx="0">
                  <c:v>84</c:v>
                </c:pt>
                <c:pt idx="1">
                  <c:v>84</c:v>
                </c:pt>
                <c:pt idx="2">
                  <c:v>84</c:v>
                </c:pt>
                <c:pt idx="3">
                  <c:v>84</c:v>
                </c:pt>
                <c:pt idx="4">
                  <c:v>85</c:v>
                </c:pt>
                <c:pt idx="5">
                  <c:v>88</c:v>
                </c:pt>
                <c:pt idx="6">
                  <c:v>88</c:v>
                </c:pt>
                <c:pt idx="7">
                  <c:v>90</c:v>
                </c:pt>
                <c:pt idx="8">
                  <c:v>93</c:v>
                </c:pt>
                <c:pt idx="9">
                  <c:v>93</c:v>
                </c:pt>
                <c:pt idx="10">
                  <c:v>94</c:v>
                </c:pt>
                <c:pt idx="11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ED2-A34E-AAEB-1AC5C5F812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397760"/>
        <c:axId val="179399296"/>
      </c:barChart>
      <c:catAx>
        <c:axId val="17939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9399296"/>
        <c:crosses val="autoZero"/>
        <c:auto val="1"/>
        <c:lblAlgn val="ctr"/>
        <c:lblOffset val="100"/>
        <c:noMultiLvlLbl val="0"/>
      </c:catAx>
      <c:valAx>
        <c:axId val="179399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9397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40975F-1CFD-0347-B614-960259DF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4944</Words>
  <Characters>26703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Jungles</dc:creator>
  <cp:keywords/>
  <dc:description/>
  <cp:lastModifiedBy>Bruna Jungles</cp:lastModifiedBy>
  <cp:revision>11</cp:revision>
  <dcterms:created xsi:type="dcterms:W3CDTF">2019-01-24T13:32:00Z</dcterms:created>
  <dcterms:modified xsi:type="dcterms:W3CDTF">2019-05-20T01:08:00Z</dcterms:modified>
</cp:coreProperties>
</file>